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E6FD" w14:textId="77777777" w:rsidR="00DF43C4" w:rsidRDefault="00DF43C4">
      <w:pPr>
        <w:pStyle w:val="BodyText"/>
        <w:spacing w:before="144"/>
        <w:ind w:left="0"/>
        <w:jc w:val="left"/>
        <w:rPr>
          <w:sz w:val="28"/>
        </w:rPr>
      </w:pPr>
    </w:p>
    <w:p w14:paraId="7C19222B" w14:textId="3CA101C7" w:rsidR="00DF43C4" w:rsidRDefault="00344399">
      <w:pPr>
        <w:pStyle w:val="Title"/>
        <w:spacing w:line="276" w:lineRule="auto"/>
      </w:pPr>
      <w:bookmarkStart w:id="0" w:name="_dx_frag_StartFragment"/>
      <w:bookmarkEnd w:id="0"/>
      <w:r w:rsidRPr="00344399">
        <w:rPr>
          <w:lang w:val="en-IN"/>
        </w:rPr>
        <w:t>ASSESSING THE SUITABILITY OF CONCENTRATED RESETTLEMENT FOR ECOLOGICAL MIGRANTS IN ARID MOUNTAINOUS REGIONS: A CASE STUDY OF GANSU PROVINCE, CHINA</w:t>
      </w:r>
    </w:p>
    <w:p w14:paraId="6B40B68B" w14:textId="77777777" w:rsidR="00DF43C4" w:rsidRDefault="00DF43C4">
      <w:pPr>
        <w:pStyle w:val="BodyText"/>
        <w:spacing w:before="35"/>
        <w:ind w:left="0"/>
        <w:jc w:val="left"/>
        <w:rPr>
          <w:b/>
          <w:sz w:val="28"/>
        </w:rPr>
      </w:pPr>
    </w:p>
    <w:p w14:paraId="2CA7D421" w14:textId="4ACD7B29" w:rsidR="00DF43C4" w:rsidRDefault="00344399">
      <w:pPr>
        <w:pStyle w:val="Heading2"/>
        <w:spacing w:before="0"/>
        <w:ind w:left="17" w:right="11" w:firstLine="0"/>
        <w:jc w:val="center"/>
      </w:pPr>
      <w:r w:rsidRPr="00344399">
        <w:t>Dr. Elara F. Cheng</w:t>
      </w:r>
    </w:p>
    <w:p w14:paraId="05406843" w14:textId="38965CF2" w:rsidR="00DF43C4" w:rsidRDefault="00344399" w:rsidP="00344399">
      <w:pPr>
        <w:spacing w:before="42"/>
        <w:ind w:left="6" w:right="17"/>
        <w:jc w:val="center"/>
        <w:rPr>
          <w:sz w:val="20"/>
        </w:rPr>
      </w:pPr>
      <w:r>
        <w:rPr>
          <w:sz w:val="20"/>
        </w:rPr>
        <w:t xml:space="preserve">        </w:t>
      </w:r>
      <w:r w:rsidRPr="00344399">
        <w:rPr>
          <w:sz w:val="20"/>
        </w:rPr>
        <w:t>Department of Arid Land Management, School of Environmental Science and Engineering, Lanzhou University, Lanzhou, China</w:t>
      </w:r>
    </w:p>
    <w:p w14:paraId="0FFF3708" w14:textId="4DFBD9D5" w:rsidR="00344399" w:rsidRDefault="00000000">
      <w:pPr>
        <w:spacing w:line="276" w:lineRule="auto"/>
        <w:ind w:left="439" w:right="6213"/>
        <w:rPr>
          <w:b/>
          <w:sz w:val="20"/>
        </w:rPr>
      </w:pPr>
      <w:r>
        <w:rPr>
          <w:b/>
          <w:sz w:val="20"/>
        </w:rPr>
        <w:t>PUBLISHED</w:t>
      </w:r>
      <w:r>
        <w:rPr>
          <w:b/>
          <w:spacing w:val="-13"/>
          <w:sz w:val="20"/>
        </w:rPr>
        <w:t xml:space="preserve"> </w:t>
      </w:r>
      <w:r>
        <w:rPr>
          <w:b/>
          <w:sz w:val="20"/>
        </w:rPr>
        <w:t>DATE:</w:t>
      </w:r>
      <w:r>
        <w:rPr>
          <w:b/>
          <w:spacing w:val="-11"/>
          <w:sz w:val="20"/>
        </w:rPr>
        <w:t xml:space="preserve"> </w:t>
      </w:r>
      <w:r>
        <w:rPr>
          <w:b/>
          <w:sz w:val="20"/>
        </w:rPr>
        <w:t>-</w:t>
      </w:r>
      <w:r>
        <w:rPr>
          <w:b/>
          <w:spacing w:val="-12"/>
          <w:sz w:val="20"/>
        </w:rPr>
        <w:t xml:space="preserve"> </w:t>
      </w:r>
      <w:r w:rsidR="00BB5C33">
        <w:rPr>
          <w:b/>
          <w:sz w:val="20"/>
        </w:rPr>
        <w:t>1</w:t>
      </w:r>
      <w:r>
        <w:rPr>
          <w:b/>
          <w:sz w:val="20"/>
        </w:rPr>
        <w:t>-</w:t>
      </w:r>
      <w:r w:rsidR="00344399">
        <w:rPr>
          <w:b/>
          <w:sz w:val="20"/>
        </w:rPr>
        <w:t>11</w:t>
      </w:r>
      <w:r>
        <w:rPr>
          <w:b/>
          <w:sz w:val="20"/>
        </w:rPr>
        <w:t xml:space="preserve">-2025 </w:t>
      </w:r>
    </w:p>
    <w:p w14:paraId="12EC897D" w14:textId="20F4C2EE" w:rsidR="00DF43C4" w:rsidRDefault="00000000">
      <w:pPr>
        <w:spacing w:line="276" w:lineRule="auto"/>
        <w:ind w:left="439" w:right="6213"/>
        <w:rPr>
          <w:b/>
          <w:sz w:val="20"/>
        </w:rPr>
      </w:pPr>
      <w:r>
        <w:rPr>
          <w:b/>
          <w:sz w:val="20"/>
        </w:rPr>
        <w:t>PAGE NO: - 1-</w:t>
      </w:r>
      <w:r w:rsidR="00BB5C33">
        <w:rPr>
          <w:b/>
          <w:sz w:val="20"/>
        </w:rPr>
        <w:t>26</w:t>
      </w:r>
    </w:p>
    <w:p w14:paraId="17634E43" w14:textId="77777777" w:rsidR="00DF43C4" w:rsidRDefault="00000000">
      <w:pPr>
        <w:pStyle w:val="BodyText"/>
        <w:spacing w:before="11"/>
        <w:ind w:left="0"/>
        <w:jc w:val="left"/>
        <w:rPr>
          <w:b/>
          <w:sz w:val="9"/>
        </w:rPr>
      </w:pPr>
      <w:r>
        <w:rPr>
          <w:b/>
          <w:noProof/>
          <w:sz w:val="9"/>
        </w:rPr>
        <mc:AlternateContent>
          <mc:Choice Requires="wps">
            <w:drawing>
              <wp:anchor distT="0" distB="0" distL="0" distR="0" simplePos="0" relativeHeight="487587840" behindDoc="1" locked="0" layoutInCell="1" allowOverlap="1" wp14:anchorId="40A2D729" wp14:editId="42252965">
                <wp:simplePos x="0" y="0"/>
                <wp:positionH relativeFrom="page">
                  <wp:posOffset>895985</wp:posOffset>
                </wp:positionH>
                <wp:positionV relativeFrom="paragraph">
                  <wp:posOffset>87967</wp:posOffset>
                </wp:positionV>
                <wp:extent cx="59823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6"/>
                              </a:lnTo>
                              <a:lnTo>
                                <a:pt x="5982335" y="6096"/>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386A7" id="Graphic 9" o:spid="_x0000_s1026" style="position:absolute;margin-left:70.55pt;margin-top:6.9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" path="m5982335,l,,,6096r5982335,l5982335,xe" fillcolor="black" stroked="f">
                <v:path arrowok="t"/>
                <w10:wrap type="topAndBottom" anchorx="page"/>
              </v:shape>
            </w:pict>
          </mc:Fallback>
        </mc:AlternateContent>
      </w:r>
    </w:p>
    <w:p w14:paraId="57BE2F9D" w14:textId="77777777" w:rsidR="00DF43C4" w:rsidRDefault="00DF43C4">
      <w:pPr>
        <w:pStyle w:val="BodyText"/>
        <w:spacing w:before="47"/>
        <w:ind w:left="0"/>
        <w:jc w:val="left"/>
        <w:rPr>
          <w:b/>
          <w:sz w:val="20"/>
        </w:rPr>
      </w:pPr>
    </w:p>
    <w:p w14:paraId="36357A9E" w14:textId="77777777" w:rsidR="00DF43C4" w:rsidRDefault="00000000">
      <w:pPr>
        <w:pStyle w:val="Heading1"/>
      </w:pPr>
      <w:r>
        <w:rPr>
          <w:spacing w:val="-2"/>
        </w:rPr>
        <w:t>ABSTRACT</w:t>
      </w:r>
    </w:p>
    <w:p w14:paraId="165C8101" w14:textId="77777777" w:rsidR="006148EC" w:rsidRPr="006148EC" w:rsidRDefault="006148EC" w:rsidP="006148EC">
      <w:pPr>
        <w:pStyle w:val="BodyText"/>
        <w:spacing w:before="262" w:line="276" w:lineRule="auto"/>
        <w:ind w:left="360" w:right="369"/>
        <w:rPr>
          <w:lang w:val="en-IN"/>
        </w:rPr>
      </w:pPr>
      <w:r w:rsidRPr="006148EC">
        <w:rPr>
          <w:b/>
          <w:lang w:val="en-IN"/>
        </w:rPr>
        <w:t>Context:</w:t>
      </w:r>
      <w:r w:rsidRPr="006148EC">
        <w:rPr>
          <w:lang w:val="en-IN"/>
        </w:rPr>
        <w:t xml:space="preserve"> Government-led ecological resettlement (ER) is a critical strategy in China to mitigate environmental degradation and alleviate poverty in fragile arid mountainous regions. The success of these programs, however, is critically dependent on the </w:t>
      </w:r>
      <w:r w:rsidRPr="006148EC">
        <w:rPr>
          <w:b/>
          <w:lang w:val="en-IN"/>
        </w:rPr>
        <w:t>suitability</w:t>
      </w:r>
      <w:r w:rsidRPr="006148EC">
        <w:rPr>
          <w:lang w:val="en-IN"/>
        </w:rPr>
        <w:t xml:space="preserve"> of the new resettlement sites. This study aims to develop and apply a comprehensive multi-criteria evaluation (MCE) framework to assess the suitability of concentrated resettlement sites in Gansu Province, China.</w:t>
      </w:r>
    </w:p>
    <w:p w14:paraId="75CDD302" w14:textId="77777777" w:rsidR="006148EC" w:rsidRPr="006148EC" w:rsidRDefault="006148EC" w:rsidP="006148EC">
      <w:pPr>
        <w:pStyle w:val="BodyText"/>
        <w:spacing w:before="262" w:line="276" w:lineRule="auto"/>
        <w:ind w:left="360" w:right="369"/>
        <w:rPr>
          <w:lang w:val="en-IN"/>
        </w:rPr>
      </w:pPr>
      <w:r w:rsidRPr="006148EC">
        <w:rPr>
          <w:b/>
          <w:lang w:val="en-IN"/>
        </w:rPr>
        <w:t>Methods:</w:t>
      </w:r>
      <w:r w:rsidRPr="006148EC">
        <w:rPr>
          <w:lang w:val="en-IN"/>
        </w:rPr>
        <w:t xml:space="preserve"> We established an MCE index system consisting of 18 indicators across three core dimensions: Natural-Ecological, Socio-Economic, and Location-Accessibility. A spatial multi-criteria decision analysis (SMCDA), integrated with the Analytical Hierarchy Process (AHP) for weight determination, was used to quantify the overall suitability level. The obstacle factor model and Local Indicators of Spatial Association (LISA) were applied to diagnose key limiting factors and spatial clustering.</w:t>
      </w:r>
    </w:p>
    <w:p w14:paraId="7424F726" w14:textId="6DE79E8B" w:rsidR="006148EC" w:rsidRPr="006148EC" w:rsidRDefault="006148EC" w:rsidP="006148EC">
      <w:pPr>
        <w:pStyle w:val="BodyText"/>
        <w:spacing w:before="262" w:line="276" w:lineRule="auto"/>
        <w:ind w:left="360" w:right="369"/>
        <w:rPr>
          <w:lang w:val="en-IN"/>
        </w:rPr>
      </w:pPr>
      <w:r w:rsidRPr="006148EC">
        <w:rPr>
          <w:b/>
          <w:lang w:val="en-IN"/>
        </w:rPr>
        <w:t>Results:</w:t>
      </w:r>
      <w:r w:rsidRPr="006148EC">
        <w:rPr>
          <w:lang w:val="en-IN"/>
        </w:rPr>
        <w:t xml:space="preserve"> The assessment revealed a predominantly Medium-to-Low suitability level across the surveyed sites, with significant spatial heterogeneity. The average Resettlement Suitability Index (</w:t>
      </w:r>
      <w:r w:rsidRPr="006148EC">
        <w:rPr>
          <w:noProof/>
          <w:lang w:val="en-IN"/>
        </w:rPr>
        <w:drawing>
          <wp:inline distT="0" distB="0" distL="0" distR="0" wp14:anchorId="170E4F60" wp14:editId="01426917">
            <wp:extent cx="38100" cy="19050"/>
            <wp:effectExtent l="0" t="0" r="0" b="0"/>
            <wp:docPr id="15639459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was </w:t>
      </w:r>
      <w:r w:rsidRPr="006148EC">
        <w:rPr>
          <w:noProof/>
          <w:lang w:val="en-IN"/>
        </w:rPr>
        <w:drawing>
          <wp:inline distT="0" distB="0" distL="0" distR="0" wp14:anchorId="1B07D3FE" wp14:editId="3F4CD2DE">
            <wp:extent cx="38100" cy="19050"/>
            <wp:effectExtent l="0" t="0" r="0" b="0"/>
            <wp:docPr id="423156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The Obstacle Factor analysis clearly identified </w:t>
      </w:r>
      <w:r w:rsidRPr="006148EC">
        <w:rPr>
          <w:b/>
          <w:lang w:val="en-IN"/>
        </w:rPr>
        <w:t>water resource carrying capacity</w:t>
      </w:r>
      <w:r w:rsidRPr="006148EC">
        <w:rPr>
          <w:lang w:val="en-IN"/>
        </w:rPr>
        <w:t xml:space="preserve"> and </w:t>
      </w:r>
      <w:r w:rsidRPr="006148EC">
        <w:rPr>
          <w:b/>
          <w:lang w:val="en-IN"/>
        </w:rPr>
        <w:t>access to sustainable employment opportunities</w:t>
      </w:r>
      <w:r w:rsidRPr="006148EC">
        <w:rPr>
          <w:lang w:val="en-IN"/>
        </w:rPr>
        <w:t xml:space="preserve"> as the two most critical limiting factors (obstacles). The results underscore that </w:t>
      </w:r>
      <w:proofErr w:type="spellStart"/>
      <w:r w:rsidRPr="006148EC">
        <w:rPr>
          <w:lang w:val="en-IN"/>
        </w:rPr>
        <w:t>favorable</w:t>
      </w:r>
      <w:proofErr w:type="spellEnd"/>
      <w:r w:rsidRPr="006148EC">
        <w:rPr>
          <w:lang w:val="en-IN"/>
        </w:rPr>
        <w:t xml:space="preserve"> physical site conditions alone are insufficient for long-term ER success, highlighting a critical </w:t>
      </w:r>
      <w:r w:rsidRPr="006148EC">
        <w:rPr>
          <w:b/>
          <w:lang w:val="en-IN"/>
        </w:rPr>
        <w:t>Economic Integration Deficit</w:t>
      </w:r>
      <w:r w:rsidRPr="006148EC">
        <w:rPr>
          <w:lang w:val="en-IN"/>
        </w:rPr>
        <w:t>.</w:t>
      </w:r>
    </w:p>
    <w:p w14:paraId="3CADDE68" w14:textId="0B776951" w:rsidR="00DF43C4" w:rsidRPr="006148EC" w:rsidRDefault="006148EC" w:rsidP="006148EC">
      <w:pPr>
        <w:pStyle w:val="BodyText"/>
        <w:spacing w:before="262" w:line="276" w:lineRule="auto"/>
        <w:ind w:left="360" w:right="369"/>
        <w:rPr>
          <w:lang w:val="en-IN"/>
        </w:rPr>
      </w:pPr>
      <w:r w:rsidRPr="006148EC">
        <w:rPr>
          <w:b/>
          <w:lang w:val="en-IN"/>
        </w:rPr>
        <w:t>Conclusion:</w:t>
      </w:r>
      <w:r w:rsidRPr="006148EC">
        <w:rPr>
          <w:lang w:val="en-IN"/>
        </w:rPr>
        <w:t xml:space="preserve"> The findings suggest that while ER addresses immediate environmental risk, the long-term viability and success of the programs are compromised by socio-economic and resource-related constraints. Policy should shift focus from mere relocation to targeted post-resettlement support, prioritizing sustainable livelihoods, human capital development, and infrastructure investment to enhance the overall suitability and livelihood resilience of the migrants</w:t>
      </w:r>
    </w:p>
    <w:p w14:paraId="753A21E8" w14:textId="44D96C3D" w:rsidR="00DF43C4" w:rsidRDefault="00000000">
      <w:pPr>
        <w:pStyle w:val="BodyText"/>
        <w:spacing w:before="274" w:line="276" w:lineRule="auto"/>
        <w:ind w:left="360" w:right="373"/>
      </w:pPr>
      <w:r>
        <w:rPr>
          <w:noProof/>
        </w:rPr>
        <w:lastRenderedPageBreak/>
        <mc:AlternateContent>
          <mc:Choice Requires="wps">
            <w:drawing>
              <wp:anchor distT="0" distB="0" distL="0" distR="0" simplePos="0" relativeHeight="487588352" behindDoc="1" locked="0" layoutInCell="1" allowOverlap="1" wp14:anchorId="26B1D7F1" wp14:editId="0FB600A3">
                <wp:simplePos x="0" y="0"/>
                <wp:positionH relativeFrom="page">
                  <wp:posOffset>952500</wp:posOffset>
                </wp:positionH>
                <wp:positionV relativeFrom="paragraph">
                  <wp:posOffset>814972</wp:posOffset>
                </wp:positionV>
                <wp:extent cx="59823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4" y="0"/>
                              </a:moveTo>
                              <a:lnTo>
                                <a:pt x="0" y="0"/>
                              </a:lnTo>
                              <a:lnTo>
                                <a:pt x="0" y="6095"/>
                              </a:lnTo>
                              <a:lnTo>
                                <a:pt x="5982334" y="6095"/>
                              </a:lnTo>
                              <a:lnTo>
                                <a:pt x="5982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59ABB" id="Graphic 10" o:spid="_x0000_s1026" style="position:absolute;margin-left:75pt;margin-top:64.15pt;width:471.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" path="m5982334,l,,,6095r5982334,l5982334,xe" fillcolor="black" stroked="f">
                <v:path arrowok="t"/>
                <w10:wrap type="topAndBottom" anchorx="page"/>
              </v:shape>
            </w:pict>
          </mc:Fallback>
        </mc:AlternateContent>
      </w:r>
      <w:r>
        <w:rPr>
          <w:b/>
        </w:rPr>
        <w:t>Keywords</w:t>
      </w:r>
      <w:r>
        <w:t xml:space="preserve">: </w:t>
      </w:r>
      <w:r w:rsidR="006148EC" w:rsidRPr="006148EC">
        <w:rPr>
          <w:lang w:val="en-IN"/>
        </w:rPr>
        <w:t>Ecological Resettlement (ER), Resettlement Suitability, Multi-Criteria Evaluation (MCE), Arid Mountainous Areas, Gansu Province, Obstacle Factor Diagnosis, Livelihood Resilience</w:t>
      </w:r>
    </w:p>
    <w:p w14:paraId="5233B139" w14:textId="77777777" w:rsidR="00DF43C4" w:rsidRDefault="00DF43C4">
      <w:pPr>
        <w:pStyle w:val="BodyText"/>
        <w:spacing w:before="87"/>
        <w:ind w:left="0"/>
        <w:jc w:val="left"/>
      </w:pPr>
    </w:p>
    <w:p w14:paraId="642A00B3" w14:textId="5654C8D5" w:rsidR="00DF43C4" w:rsidRPr="006148EC" w:rsidRDefault="00000000" w:rsidP="006148EC">
      <w:pPr>
        <w:pStyle w:val="Heading1"/>
      </w:pPr>
      <w:r>
        <w:rPr>
          <w:spacing w:val="-2"/>
        </w:rPr>
        <w:t>INTRODUCTION</w:t>
      </w:r>
    </w:p>
    <w:p w14:paraId="1A3BE521" w14:textId="33A18414" w:rsidR="006148EC" w:rsidRPr="006148EC" w:rsidRDefault="006148EC" w:rsidP="006148EC">
      <w:pPr>
        <w:pStyle w:val="BodyText"/>
        <w:spacing w:line="276" w:lineRule="auto"/>
        <w:ind w:left="360" w:right="352"/>
        <w:rPr>
          <w:b/>
          <w:lang w:val="en-IN"/>
        </w:rPr>
      </w:pPr>
      <w:r w:rsidRPr="006148EC">
        <w:rPr>
          <w:b/>
          <w:lang w:val="en-IN"/>
        </w:rPr>
        <w:t>Global Context and the Rise of Environmentally-Induced Migration</w:t>
      </w:r>
    </w:p>
    <w:p w14:paraId="06D1E5C1" w14:textId="77777777" w:rsidR="006148EC" w:rsidRPr="006148EC" w:rsidRDefault="006148EC" w:rsidP="006148EC">
      <w:pPr>
        <w:pStyle w:val="BodyText"/>
        <w:spacing w:line="276" w:lineRule="auto"/>
        <w:ind w:left="360" w:right="352"/>
        <w:rPr>
          <w:lang w:val="en-IN"/>
        </w:rPr>
      </w:pPr>
      <w:r w:rsidRPr="006148EC">
        <w:rPr>
          <w:lang w:val="en-IN"/>
        </w:rPr>
        <w:t xml:space="preserve">The twenty-first century is defined by unprecedented rates of environmental change, often manifesting as land degradation, desertification, and climate-related disasters [18, 27]. These pressures increasingly undermine the stability of human settlements, forcing populations to move—a phenomenon broadly termed </w:t>
      </w:r>
      <w:r w:rsidRPr="006148EC">
        <w:rPr>
          <w:b/>
          <w:lang w:val="en-IN"/>
        </w:rPr>
        <w:t>environmentally-induced migration</w:t>
      </w:r>
      <w:r w:rsidRPr="006148EC">
        <w:rPr>
          <w:lang w:val="en-IN"/>
        </w:rPr>
        <w:t xml:space="preserve"> [13, 17, 53]. While some migration is spontaneous, a growing necessity, particularly in vulnerable regions, is planned or government-led relocation. This planned movement is often framed as a critical strategy for both poverty alleviation and ecological conservation, aiming to "solve one problem" (ecological damage) and alleviate another (poverty) [12, 50].</w:t>
      </w:r>
    </w:p>
    <w:p w14:paraId="51D12D00" w14:textId="0DA97DDB" w:rsidR="006148EC" w:rsidRPr="006148EC" w:rsidRDefault="006148EC" w:rsidP="006148EC">
      <w:pPr>
        <w:pStyle w:val="BodyText"/>
        <w:spacing w:line="276" w:lineRule="auto"/>
        <w:ind w:left="360" w:right="352"/>
        <w:rPr>
          <w:lang w:val="en-IN"/>
        </w:rPr>
      </w:pPr>
      <w:r w:rsidRPr="006148EC">
        <w:rPr>
          <w:lang w:val="en-IN"/>
        </w:rPr>
        <w:t xml:space="preserve">China, in particular, has implemented massive, large-scale initiatives known as </w:t>
      </w:r>
      <w:r w:rsidRPr="006148EC">
        <w:rPr>
          <w:b/>
          <w:lang w:val="en-IN"/>
        </w:rPr>
        <w:t>Ecological Resettlement (ER)</w:t>
      </w:r>
      <w:r w:rsidRPr="006148EC">
        <w:rPr>
          <w:lang w:val="en-IN"/>
        </w:rPr>
        <w:t xml:space="preserve">, or "Poverty Alleviation Resettlement," as a central pillar of its strategy to protect fragile ecosystems and lift millions out of extreme poverty [24, 50, 54]. These policies mandate the transfer of populations from environmentally degraded areas, such as the Loess Plateau and the arid mountainous regions of the Northwest, to newly constructed, concentrated communities [21]. However, the success of ER isn't just about moving people; it is fundamentally dependent on the </w:t>
      </w:r>
      <w:r w:rsidRPr="006148EC">
        <w:rPr>
          <w:b/>
          <w:lang w:val="en-IN"/>
        </w:rPr>
        <w:t>suitability</w:t>
      </w:r>
      <w:r w:rsidRPr="006148EC">
        <w:rPr>
          <w:lang w:val="en-IN"/>
        </w:rPr>
        <w:t xml:space="preserve"> of the new sites for long-term human habitation and livelihood sustainability [4, 43, 50]. The assessment of suitability is a critical measure for determining if the high investment associated with ER is </w:t>
      </w:r>
      <w:r w:rsidRPr="006148EC">
        <w:rPr>
          <w:b/>
          <w:lang w:val="en-IN"/>
        </w:rPr>
        <w:t>associated with</w:t>
      </w:r>
      <w:r w:rsidRPr="006148EC">
        <w:rPr>
          <w:lang w:val="en-IN"/>
        </w:rPr>
        <w:t xml:space="preserve"> long-term success.</w:t>
      </w:r>
    </w:p>
    <w:p w14:paraId="1979E621" w14:textId="3A4DF24E" w:rsidR="006148EC" w:rsidRPr="006148EC" w:rsidRDefault="006148EC" w:rsidP="006148EC">
      <w:pPr>
        <w:pStyle w:val="BodyText"/>
        <w:spacing w:line="276" w:lineRule="auto"/>
        <w:ind w:left="360" w:right="352"/>
        <w:rPr>
          <w:b/>
          <w:lang w:val="en-IN"/>
        </w:rPr>
      </w:pPr>
      <w:r w:rsidRPr="006148EC">
        <w:rPr>
          <w:b/>
          <w:lang w:val="en-IN"/>
        </w:rPr>
        <w:t>1.2. Ecological Migration Policy in China: Background and Rationale</w:t>
      </w:r>
    </w:p>
    <w:p w14:paraId="747E3615" w14:textId="77777777" w:rsidR="006148EC" w:rsidRPr="006148EC" w:rsidRDefault="006148EC" w:rsidP="006148EC">
      <w:pPr>
        <w:pStyle w:val="BodyText"/>
        <w:spacing w:line="276" w:lineRule="auto"/>
        <w:ind w:left="360" w:right="352"/>
        <w:rPr>
          <w:lang w:val="en-IN"/>
        </w:rPr>
      </w:pPr>
      <w:r w:rsidRPr="006148EC">
        <w:rPr>
          <w:lang w:val="en-IN"/>
        </w:rPr>
        <w:t xml:space="preserve">China’s ecological migration programs, spanning several decades, have evolved from initial, reactive responses to specific natural disasters (e.g., mudflows in mountainous regions [46]) to proactive, top-down environmental and development strategies [50, 58]. The programs focus heavily on areas where the human-environment conflict is most acute—places where high poverty </w:t>
      </w:r>
      <w:r w:rsidRPr="006148EC">
        <w:rPr>
          <w:b/>
          <w:lang w:val="en-IN"/>
        </w:rPr>
        <w:t>is associated with</w:t>
      </w:r>
      <w:r w:rsidRPr="006148EC">
        <w:rPr>
          <w:lang w:val="en-IN"/>
        </w:rPr>
        <w:t xml:space="preserve"> extremely fragile ecology, such as the arid mountainous zones of Northwest China.</w:t>
      </w:r>
    </w:p>
    <w:p w14:paraId="28EDC961" w14:textId="77777777" w:rsidR="006148EC" w:rsidRPr="006148EC" w:rsidRDefault="006148EC" w:rsidP="006148EC">
      <w:pPr>
        <w:pStyle w:val="BodyText"/>
        <w:spacing w:line="276" w:lineRule="auto"/>
        <w:ind w:left="360" w:right="352"/>
        <w:rPr>
          <w:lang w:val="en-IN"/>
        </w:rPr>
      </w:pPr>
      <w:r w:rsidRPr="006148EC">
        <w:rPr>
          <w:b/>
          <w:lang w:val="en-IN"/>
        </w:rPr>
        <w:t>Gansu Province</w:t>
      </w:r>
      <w:r w:rsidRPr="006148EC">
        <w:rPr>
          <w:lang w:val="en-IN"/>
        </w:rPr>
        <w:t>, located in this semi-arid and arid belt, is a textbook example of a region facing severe environmental constraints. Characterized by steep terrain, low and erratic precipitation, and vulnerability to desertification and soil erosion, many traditional settlements are deemed ecologically and structurally unsustainable [54, 57]. The rationale for resettlement here is dual-</w:t>
      </w:r>
      <w:r w:rsidRPr="006148EC">
        <w:rPr>
          <w:lang w:val="en-IN"/>
        </w:rPr>
        <w:lastRenderedPageBreak/>
        <w:t>pronged: to remove human pressure from the source environment, allowing for ecological restoration, and simultaneously to provide resettled households with improved access to infrastructure, public services, and better livelihood opportunities in concentrated communities [15, 21].</w:t>
      </w:r>
    </w:p>
    <w:p w14:paraId="27600BE5" w14:textId="5B557992" w:rsidR="006148EC" w:rsidRPr="006148EC" w:rsidRDefault="006148EC" w:rsidP="006148EC">
      <w:pPr>
        <w:pStyle w:val="BodyText"/>
        <w:spacing w:line="276" w:lineRule="auto"/>
        <w:ind w:left="360" w:right="352"/>
        <w:rPr>
          <w:lang w:val="en-IN"/>
        </w:rPr>
      </w:pPr>
      <w:r w:rsidRPr="006148EC">
        <w:rPr>
          <w:lang w:val="en-IN"/>
        </w:rPr>
        <w:t xml:space="preserve">Previous studies examining Chinese resettlement programs have highlighted mixed results. While immediate access to better housing and infrastructure is often achieved [33, 37], challenges persist in achieving true long-term </w:t>
      </w:r>
      <w:r w:rsidRPr="006148EC">
        <w:rPr>
          <w:b/>
          <w:lang w:val="en-IN"/>
        </w:rPr>
        <w:t>livelihood adaptation</w:t>
      </w:r>
      <w:r w:rsidRPr="006148EC">
        <w:rPr>
          <w:lang w:val="en-IN"/>
        </w:rPr>
        <w:t xml:space="preserve"> and </w:t>
      </w:r>
      <w:r w:rsidRPr="006148EC">
        <w:rPr>
          <w:b/>
          <w:lang w:val="en-IN"/>
        </w:rPr>
        <w:t>social integration</w:t>
      </w:r>
      <w:r w:rsidRPr="006148EC">
        <w:rPr>
          <w:lang w:val="en-IN"/>
        </w:rPr>
        <w:t xml:space="preserve"> into the new urban or peri-urban environments [16, 24]. The gap lies in the assumption that merely moving people to a physically safe place guarantees success. Therefore, a rigorous, evidence-based assessment of the suitability of these new sites is essential for policy recalibration.</w:t>
      </w:r>
    </w:p>
    <w:p w14:paraId="7F267419" w14:textId="3512C556" w:rsidR="006148EC" w:rsidRPr="006148EC" w:rsidRDefault="006148EC" w:rsidP="006148EC">
      <w:pPr>
        <w:pStyle w:val="BodyText"/>
        <w:spacing w:line="276" w:lineRule="auto"/>
        <w:ind w:left="360" w:right="352"/>
        <w:rPr>
          <w:b/>
          <w:lang w:val="en-IN"/>
        </w:rPr>
      </w:pPr>
      <w:r w:rsidRPr="006148EC">
        <w:rPr>
          <w:b/>
          <w:lang w:val="en-IN"/>
        </w:rPr>
        <w:t>Conceptual Framework: Dimensions of Resettlement Suitability</w:t>
      </w:r>
    </w:p>
    <w:p w14:paraId="0140DBA5" w14:textId="77777777" w:rsidR="006148EC" w:rsidRPr="006148EC" w:rsidRDefault="006148EC" w:rsidP="006148EC">
      <w:pPr>
        <w:pStyle w:val="BodyText"/>
        <w:spacing w:line="276" w:lineRule="auto"/>
        <w:ind w:left="360" w:right="352"/>
        <w:rPr>
          <w:lang w:val="en-IN"/>
        </w:rPr>
      </w:pPr>
      <w:r w:rsidRPr="006148EC">
        <w:rPr>
          <w:lang w:val="en-IN"/>
        </w:rPr>
        <w:t xml:space="preserve">The concept of </w:t>
      </w:r>
      <w:r w:rsidRPr="006148EC">
        <w:rPr>
          <w:b/>
          <w:lang w:val="en-IN"/>
        </w:rPr>
        <w:t>resettlement suitability</w:t>
      </w:r>
      <w:r w:rsidRPr="006148EC">
        <w:rPr>
          <w:lang w:val="en-IN"/>
        </w:rPr>
        <w:t xml:space="preserve"> is multifaceted, extending far beyond simple geological safety or the proximity to a road [7, 47]. It requires a holistic, </w:t>
      </w:r>
      <w:r w:rsidRPr="006148EC">
        <w:rPr>
          <w:b/>
          <w:lang w:val="en-IN"/>
        </w:rPr>
        <w:t>Multi-Criteria Evaluation (MCE)</w:t>
      </w:r>
      <w:r w:rsidRPr="006148EC">
        <w:rPr>
          <w:lang w:val="en-IN"/>
        </w:rPr>
        <w:t xml:space="preserve"> approach that assesses a location's capacity to support human well-being and a sustainable environment over time [41, 55]. Literature suggests that suitability should be evaluated across at least three critical, interlinked pillars [43, 49]:</w:t>
      </w:r>
    </w:p>
    <w:p w14:paraId="30370675" w14:textId="77777777" w:rsidR="006148EC" w:rsidRPr="006148EC" w:rsidRDefault="006148EC" w:rsidP="006148EC">
      <w:pPr>
        <w:pStyle w:val="BodyText"/>
        <w:numPr>
          <w:ilvl w:val="0"/>
          <w:numId w:val="5"/>
        </w:numPr>
        <w:spacing w:line="276" w:lineRule="auto"/>
        <w:ind w:right="352"/>
        <w:rPr>
          <w:lang w:val="en-IN"/>
        </w:rPr>
      </w:pPr>
      <w:r w:rsidRPr="006148EC">
        <w:rPr>
          <w:b/>
          <w:lang w:val="en-IN"/>
        </w:rPr>
        <w:t>Natural-Ecological Suitability:</w:t>
      </w:r>
      <w:r w:rsidRPr="006148EC">
        <w:rPr>
          <w:lang w:val="en-IN"/>
        </w:rPr>
        <w:t xml:space="preserve"> Encompassing factors like disaster risk (e.g., landslides), resource availability (e.g., water), and the carrying capacity of the local ecosystem [8, 57].</w:t>
      </w:r>
    </w:p>
    <w:p w14:paraId="49FF9537" w14:textId="77777777" w:rsidR="006148EC" w:rsidRPr="006148EC" w:rsidRDefault="006148EC" w:rsidP="006148EC">
      <w:pPr>
        <w:pStyle w:val="BodyText"/>
        <w:numPr>
          <w:ilvl w:val="0"/>
          <w:numId w:val="5"/>
        </w:numPr>
        <w:spacing w:line="276" w:lineRule="auto"/>
        <w:ind w:right="352"/>
        <w:rPr>
          <w:lang w:val="en-IN"/>
        </w:rPr>
      </w:pPr>
      <w:r w:rsidRPr="006148EC">
        <w:rPr>
          <w:b/>
          <w:lang w:val="en-IN"/>
        </w:rPr>
        <w:t>Socio-Economic Suitability:</w:t>
      </w:r>
      <w:r w:rsidRPr="006148EC">
        <w:rPr>
          <w:lang w:val="en-IN"/>
        </w:rPr>
        <w:t xml:space="preserve"> Reflecting the availability of employment, economic opportunities, and the resilience of livelihoods in the new setting [10, 24, 34].</w:t>
      </w:r>
    </w:p>
    <w:p w14:paraId="6D0C34BC" w14:textId="77777777" w:rsidR="006148EC" w:rsidRPr="006148EC" w:rsidRDefault="006148EC" w:rsidP="006148EC">
      <w:pPr>
        <w:pStyle w:val="BodyText"/>
        <w:numPr>
          <w:ilvl w:val="0"/>
          <w:numId w:val="5"/>
        </w:numPr>
        <w:spacing w:line="276" w:lineRule="auto"/>
        <w:ind w:right="352"/>
        <w:rPr>
          <w:lang w:val="en-IN"/>
        </w:rPr>
      </w:pPr>
      <w:r w:rsidRPr="006148EC">
        <w:rPr>
          <w:b/>
          <w:lang w:val="en-IN"/>
        </w:rPr>
        <w:t>Location-Accessibility Suitability:</w:t>
      </w:r>
      <w:r w:rsidRPr="006148EC">
        <w:rPr>
          <w:lang w:val="en-IN"/>
        </w:rPr>
        <w:t xml:space="preserve"> Pertaining to the ease of access to essential services, infrastructure, markets, and social networks [19, 28, 49].</w:t>
      </w:r>
    </w:p>
    <w:p w14:paraId="084FF90D" w14:textId="77777777" w:rsidR="006148EC" w:rsidRPr="006148EC" w:rsidRDefault="006148EC" w:rsidP="006148EC">
      <w:pPr>
        <w:pStyle w:val="BodyText"/>
        <w:spacing w:before="0" w:line="276" w:lineRule="auto"/>
        <w:ind w:left="360" w:right="352"/>
        <w:rPr>
          <w:lang w:val="en-IN"/>
        </w:rPr>
      </w:pPr>
      <w:r w:rsidRPr="006148EC">
        <w:rPr>
          <w:b/>
          <w:lang w:val="en-IN"/>
        </w:rPr>
        <w:t>Literature Gap 1:</w:t>
      </w:r>
      <w:r w:rsidRPr="006148EC">
        <w:rPr>
          <w:lang w:val="en-IN"/>
        </w:rPr>
        <w:t xml:space="preserve"> While the importance of a comprehensive approach is acknowledged, many existing suitability assessments in the context of forced or government-led relocation tend to prioritize the </w:t>
      </w:r>
      <w:r w:rsidRPr="006148EC">
        <w:rPr>
          <w:b/>
          <w:lang w:val="en-IN"/>
        </w:rPr>
        <w:t>physical</w:t>
      </w:r>
      <w:r w:rsidRPr="006148EC">
        <w:rPr>
          <w:lang w:val="en-IN"/>
        </w:rPr>
        <w:t xml:space="preserve"> or </w:t>
      </w:r>
      <w:r w:rsidRPr="006148EC">
        <w:rPr>
          <w:b/>
          <w:lang w:val="en-IN"/>
        </w:rPr>
        <w:t>environmental</w:t>
      </w:r>
      <w:r w:rsidRPr="006148EC">
        <w:rPr>
          <w:lang w:val="en-IN"/>
        </w:rPr>
        <w:t xml:space="preserve"> risk factors (e.g., flood zones, soil quality) [6, 42]. They often fall short in rigorously quantifying and weighting the </w:t>
      </w:r>
      <w:r w:rsidRPr="006148EC">
        <w:rPr>
          <w:b/>
          <w:lang w:val="en-IN"/>
        </w:rPr>
        <w:t>socio-economic and institutional criteria</w:t>
      </w:r>
      <w:r w:rsidRPr="006148EC">
        <w:rPr>
          <w:lang w:val="en-IN"/>
        </w:rPr>
        <w:t xml:space="preserve">—such as job creation potential, social status, and livelihood resilience—which are arguably the true determinants of a migrant's integration and long-term willingness to stay [25, 34, 61]. A successful resettlement site must not only be safe but also function as a catalyst for enhanced livelihood resilience, a factor that </w:t>
      </w:r>
      <w:r w:rsidRPr="006148EC">
        <w:rPr>
          <w:b/>
          <w:lang w:val="en-IN"/>
        </w:rPr>
        <w:t>predicts</w:t>
      </w:r>
      <w:r w:rsidRPr="006148EC">
        <w:rPr>
          <w:lang w:val="en-IN"/>
        </w:rPr>
        <w:t xml:space="preserve"> long-term project success [24, 51].</w:t>
      </w:r>
    </w:p>
    <w:p w14:paraId="744E4956" w14:textId="69BF5C72" w:rsidR="006148EC" w:rsidRPr="006148EC" w:rsidRDefault="006148EC" w:rsidP="006148EC">
      <w:pPr>
        <w:pStyle w:val="BodyText"/>
        <w:spacing w:line="276" w:lineRule="auto"/>
        <w:ind w:left="360" w:right="352"/>
        <w:rPr>
          <w:lang w:val="en-IN"/>
        </w:rPr>
      </w:pPr>
      <w:r w:rsidRPr="006148EC">
        <w:rPr>
          <w:b/>
          <w:lang w:val="en-IN"/>
        </w:rPr>
        <w:t>Literature Gap 2:</w:t>
      </w:r>
      <w:r w:rsidRPr="006148EC">
        <w:rPr>
          <w:lang w:val="en-IN"/>
        </w:rPr>
        <w:t xml:space="preserve"> There is a scarcity of in-depth MCE applications specifically tailored to the unique challenges of </w:t>
      </w:r>
      <w:r w:rsidRPr="006148EC">
        <w:rPr>
          <w:b/>
          <w:lang w:val="en-IN"/>
        </w:rPr>
        <w:t>China’s ecological resettlement in arid regions</w:t>
      </w:r>
      <w:r w:rsidRPr="006148EC">
        <w:rPr>
          <w:lang w:val="en-IN"/>
        </w:rPr>
        <w:t xml:space="preserve"> [36, 57]. The arid mountainous context introduces specific constraints, particularly surrounding </w:t>
      </w:r>
      <w:r w:rsidRPr="006148EC">
        <w:rPr>
          <w:b/>
          <w:lang w:val="en-IN"/>
        </w:rPr>
        <w:t>water resources</w:t>
      </w:r>
      <w:r w:rsidRPr="006148EC">
        <w:rPr>
          <w:lang w:val="en-IN"/>
        </w:rPr>
        <w:t xml:space="preserve"> and the difficulties of developing viable, non-agricultural economies, which necessitate a carefully </w:t>
      </w:r>
      <w:r w:rsidRPr="006148EC">
        <w:rPr>
          <w:lang w:val="en-IN"/>
        </w:rPr>
        <w:lastRenderedPageBreak/>
        <w:t>weighted indicator system. Addressing this gap requires a model that emphasizes resource constraints and economic opportunities relevant to the arid, concentrated resettlement model.</w:t>
      </w:r>
    </w:p>
    <w:p w14:paraId="5C4C54EC" w14:textId="5456E688" w:rsidR="006148EC" w:rsidRPr="006148EC" w:rsidRDefault="006148EC" w:rsidP="006148EC">
      <w:pPr>
        <w:pStyle w:val="BodyText"/>
        <w:spacing w:line="276" w:lineRule="auto"/>
        <w:ind w:left="360" w:right="352"/>
        <w:rPr>
          <w:b/>
          <w:lang w:val="en-IN"/>
        </w:rPr>
      </w:pPr>
      <w:r w:rsidRPr="006148EC">
        <w:rPr>
          <w:b/>
          <w:lang w:val="en-IN"/>
        </w:rPr>
        <w:t>Research Objectives and Paper Structure</w:t>
      </w:r>
    </w:p>
    <w:p w14:paraId="7762D040" w14:textId="77777777" w:rsidR="006148EC" w:rsidRPr="006148EC" w:rsidRDefault="006148EC" w:rsidP="006148EC">
      <w:pPr>
        <w:pStyle w:val="BodyText"/>
        <w:spacing w:line="276" w:lineRule="auto"/>
        <w:ind w:left="360" w:right="352"/>
        <w:rPr>
          <w:lang w:val="en-IN"/>
        </w:rPr>
      </w:pPr>
      <w:r w:rsidRPr="006148EC">
        <w:rPr>
          <w:lang w:val="en-IN"/>
        </w:rPr>
        <w:t>Against this background, this study aims to provide a rigorous, evidence-based assessment of resettlement suitability. Our objectives are threefold:</w:t>
      </w:r>
    </w:p>
    <w:p w14:paraId="24DC2462" w14:textId="77777777" w:rsidR="006148EC" w:rsidRPr="006148EC" w:rsidRDefault="006148EC" w:rsidP="006148EC">
      <w:pPr>
        <w:pStyle w:val="BodyText"/>
        <w:numPr>
          <w:ilvl w:val="0"/>
          <w:numId w:val="6"/>
        </w:numPr>
        <w:spacing w:line="276" w:lineRule="auto"/>
        <w:ind w:right="352"/>
        <w:rPr>
          <w:lang w:val="en-IN"/>
        </w:rPr>
      </w:pPr>
      <w:r w:rsidRPr="006148EC">
        <w:rPr>
          <w:lang w:val="en-IN"/>
        </w:rPr>
        <w:t xml:space="preserve">To </w:t>
      </w:r>
      <w:r w:rsidRPr="006148EC">
        <w:rPr>
          <w:b/>
          <w:lang w:val="en-IN"/>
        </w:rPr>
        <w:t>develop a robust, multi-criteria evaluation (MCE) framework</w:t>
      </w:r>
      <w:r w:rsidRPr="006148EC">
        <w:rPr>
          <w:lang w:val="en-IN"/>
        </w:rPr>
        <w:t xml:space="preserve"> that integrates Natural-Ecological, Socio-Economic, and Location-Accessibility factors, explicitly tailored for assessing ecological migration sites in arid mountainous areas.</w:t>
      </w:r>
    </w:p>
    <w:p w14:paraId="2C6C8444" w14:textId="77777777" w:rsidR="006148EC" w:rsidRPr="006148EC" w:rsidRDefault="006148EC" w:rsidP="006148EC">
      <w:pPr>
        <w:pStyle w:val="BodyText"/>
        <w:numPr>
          <w:ilvl w:val="0"/>
          <w:numId w:val="6"/>
        </w:numPr>
        <w:spacing w:line="276" w:lineRule="auto"/>
        <w:ind w:right="352"/>
        <w:rPr>
          <w:lang w:val="en-IN"/>
        </w:rPr>
      </w:pPr>
      <w:r w:rsidRPr="006148EC">
        <w:rPr>
          <w:lang w:val="en-IN"/>
        </w:rPr>
        <w:t xml:space="preserve">To </w:t>
      </w:r>
      <w:r w:rsidRPr="006148EC">
        <w:rPr>
          <w:b/>
          <w:lang w:val="en-IN"/>
        </w:rPr>
        <w:t>apply this framework</w:t>
      </w:r>
      <w:r w:rsidRPr="006148EC">
        <w:rPr>
          <w:lang w:val="en-IN"/>
        </w:rPr>
        <w:t xml:space="preserve"> to a diverse sample of concentrated resettlement communities in </w:t>
      </w:r>
      <w:r w:rsidRPr="006148EC">
        <w:rPr>
          <w:b/>
          <w:lang w:val="en-IN"/>
        </w:rPr>
        <w:t>Gansu Province, China</w:t>
      </w:r>
      <w:r w:rsidRPr="006148EC">
        <w:rPr>
          <w:lang w:val="en-IN"/>
        </w:rPr>
        <w:t>, thereby quantifying the actual suitability levels.</w:t>
      </w:r>
    </w:p>
    <w:p w14:paraId="5A1AF52D" w14:textId="77777777" w:rsidR="006148EC" w:rsidRPr="006148EC" w:rsidRDefault="006148EC" w:rsidP="006148EC">
      <w:pPr>
        <w:pStyle w:val="BodyText"/>
        <w:numPr>
          <w:ilvl w:val="0"/>
          <w:numId w:val="6"/>
        </w:numPr>
        <w:spacing w:line="276" w:lineRule="auto"/>
        <w:ind w:right="352"/>
        <w:rPr>
          <w:lang w:val="en-IN"/>
        </w:rPr>
      </w:pPr>
      <w:r w:rsidRPr="006148EC">
        <w:rPr>
          <w:lang w:val="en-IN"/>
        </w:rPr>
        <w:t xml:space="preserve">To </w:t>
      </w:r>
      <w:r w:rsidRPr="006148EC">
        <w:rPr>
          <w:b/>
          <w:lang w:val="en-IN"/>
        </w:rPr>
        <w:t>identify the key driving and limiting factors (obstacles)</w:t>
      </w:r>
      <w:r w:rsidRPr="006148EC">
        <w:rPr>
          <w:lang w:val="en-IN"/>
        </w:rPr>
        <w:t xml:space="preserve"> influencing suitability at the site level, providing targeted policy recommendations [56].</w:t>
      </w:r>
    </w:p>
    <w:p w14:paraId="4B4652AD" w14:textId="25F2BE79" w:rsidR="006148EC" w:rsidRPr="006148EC" w:rsidRDefault="006148EC" w:rsidP="006148EC">
      <w:pPr>
        <w:pStyle w:val="BodyText"/>
        <w:spacing w:before="0" w:line="276" w:lineRule="auto"/>
        <w:ind w:left="360" w:right="352"/>
        <w:rPr>
          <w:lang w:val="en-IN"/>
        </w:rPr>
      </w:pPr>
      <w:r w:rsidRPr="006148EC">
        <w:rPr>
          <w:lang w:val="en-IN"/>
        </w:rPr>
        <w:t>The remainder of this paper is structured as follows: Section 2 details the methodology, including the case study area, MCE framework, and analytical models. Section 3 presents the quantitative results on suitability levels and obstacle factors. Section 4 discusses these findings, explores their policy implications, and contextualizes them within broader migration discourse. Section 5 concludes the study.</w:t>
      </w:r>
    </w:p>
    <w:p w14:paraId="0ED30463" w14:textId="7D50F5CD" w:rsidR="006148EC" w:rsidRPr="006148EC" w:rsidRDefault="006148EC" w:rsidP="006148EC">
      <w:pPr>
        <w:pStyle w:val="BodyText"/>
        <w:spacing w:line="276" w:lineRule="auto"/>
        <w:ind w:left="360" w:right="352"/>
        <w:rPr>
          <w:b/>
          <w:lang w:val="en-IN"/>
        </w:rPr>
      </w:pPr>
      <w:r w:rsidRPr="006148EC">
        <w:rPr>
          <w:b/>
          <w:lang w:val="en-IN"/>
        </w:rPr>
        <w:t>2. Methods</w:t>
      </w:r>
    </w:p>
    <w:p w14:paraId="748F644A" w14:textId="6C81EB51" w:rsidR="006148EC" w:rsidRPr="006148EC" w:rsidRDefault="006148EC" w:rsidP="006148EC">
      <w:pPr>
        <w:pStyle w:val="BodyText"/>
        <w:spacing w:line="276" w:lineRule="auto"/>
        <w:ind w:left="360" w:right="352"/>
        <w:rPr>
          <w:b/>
          <w:lang w:val="en-IN"/>
        </w:rPr>
      </w:pPr>
      <w:r w:rsidRPr="006148EC">
        <w:rPr>
          <w:b/>
          <w:lang w:val="en-IN"/>
        </w:rPr>
        <w:t>Study Area: Overview of Ecological Migration in Gansu Province</w:t>
      </w:r>
    </w:p>
    <w:p w14:paraId="3C075701" w14:textId="41D53E48" w:rsidR="006148EC" w:rsidRPr="006148EC" w:rsidRDefault="006148EC" w:rsidP="006148EC">
      <w:pPr>
        <w:pStyle w:val="BodyText"/>
        <w:spacing w:line="276" w:lineRule="auto"/>
        <w:ind w:left="360" w:right="352"/>
        <w:rPr>
          <w:lang w:val="en-IN"/>
        </w:rPr>
      </w:pPr>
      <w:r w:rsidRPr="006148EC">
        <w:rPr>
          <w:lang w:val="en-IN"/>
        </w:rPr>
        <w:t xml:space="preserve">The study focuses on resettlement sites within </w:t>
      </w:r>
      <w:r w:rsidRPr="006148EC">
        <w:rPr>
          <w:b/>
          <w:lang w:val="en-IN"/>
        </w:rPr>
        <w:t>Gansu Province</w:t>
      </w:r>
      <w:r w:rsidRPr="006148EC">
        <w:rPr>
          <w:lang w:val="en-IN"/>
        </w:rPr>
        <w:t xml:space="preserve">, located in Northwestern China, a key area for the country's ecological protection and poverty alleviation efforts. Gansu is characterized by significant topographic variation, ranging from the high Tibetan Plateau fringes to arid deserts and the Loess Plateau. We selected a sample of </w:t>
      </w:r>
      <w:r w:rsidRPr="006148EC">
        <w:rPr>
          <w:noProof/>
          <w:lang w:val="en-IN"/>
        </w:rPr>
        <w:drawing>
          <wp:inline distT="0" distB="0" distL="0" distR="0" wp14:anchorId="63D91DFC" wp14:editId="7E5C8AFC">
            <wp:extent cx="38100" cy="19050"/>
            <wp:effectExtent l="0" t="0" r="0" b="0"/>
            <wp:docPr id="141274171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concentrated resettlement communities that received migrants under the official ER programs between 2011 and 2020. These sites typically house several hundred relocated households, often consolidated into new small towns or satellite villages, and are located in areas deemed to have better resource endowments and developmental potential than the migrants' original homes.</w:t>
      </w:r>
    </w:p>
    <w:p w14:paraId="536CE452" w14:textId="1BEB7B00" w:rsidR="006148EC" w:rsidRPr="006148EC" w:rsidRDefault="006148EC" w:rsidP="006148EC">
      <w:pPr>
        <w:pStyle w:val="BodyText"/>
        <w:spacing w:line="276" w:lineRule="auto"/>
        <w:ind w:left="360" w:right="352"/>
        <w:rPr>
          <w:lang w:val="en-IN"/>
        </w:rPr>
      </w:pPr>
      <w:r w:rsidRPr="006148EC">
        <w:rPr>
          <w:lang w:val="en-IN"/>
        </w:rPr>
        <w:t xml:space="preserve">The key challenge in the study area is the extreme </w:t>
      </w:r>
      <w:r w:rsidRPr="006148EC">
        <w:rPr>
          <w:b/>
          <w:lang w:val="en-IN"/>
        </w:rPr>
        <w:t>Natural-Ecological constraint</w:t>
      </w:r>
      <w:r w:rsidRPr="006148EC">
        <w:rPr>
          <w:lang w:val="en-IN"/>
        </w:rPr>
        <w:t>. Water scarcity is endemic, and the carrying capacity of land for agriculture is low [57]. Furthermore, the proximity to geological hazards, despite being a reason for relocation, remains a concern in some new mountainous locations [47]. The socio-economic challenge lies in integrating former farmers and herders into a largely non-agricultural, often spatially dense, new environment [16].</w:t>
      </w:r>
    </w:p>
    <w:p w14:paraId="7F1CD906" w14:textId="5CC14B53" w:rsidR="006148EC" w:rsidRPr="006148EC" w:rsidRDefault="006148EC" w:rsidP="006148EC">
      <w:pPr>
        <w:pStyle w:val="BodyText"/>
        <w:spacing w:line="276" w:lineRule="auto"/>
        <w:ind w:left="360" w:right="352"/>
        <w:rPr>
          <w:b/>
          <w:lang w:val="en-IN"/>
        </w:rPr>
      </w:pPr>
      <w:r w:rsidRPr="006148EC">
        <w:rPr>
          <w:b/>
          <w:lang w:val="en-IN"/>
        </w:rPr>
        <w:lastRenderedPageBreak/>
        <w:t>Establishing the Multi-Criteria Evaluation (MCE) Index System</w:t>
      </w:r>
    </w:p>
    <w:p w14:paraId="00DF6813" w14:textId="7E73A755" w:rsidR="006148EC" w:rsidRPr="006148EC" w:rsidRDefault="006148EC" w:rsidP="006148EC">
      <w:pPr>
        <w:pStyle w:val="BodyText"/>
        <w:spacing w:line="276" w:lineRule="auto"/>
        <w:ind w:left="360" w:right="352"/>
        <w:rPr>
          <w:b/>
          <w:lang w:val="en-IN"/>
        </w:rPr>
      </w:pPr>
      <w:r w:rsidRPr="006148EC">
        <w:rPr>
          <w:b/>
          <w:lang w:val="en-IN"/>
        </w:rPr>
        <w:t>Framework Design</w:t>
      </w:r>
    </w:p>
    <w:p w14:paraId="15A85FB2" w14:textId="77777777" w:rsidR="006148EC" w:rsidRDefault="006148EC" w:rsidP="006148EC">
      <w:pPr>
        <w:pStyle w:val="BodyText"/>
        <w:spacing w:line="276" w:lineRule="auto"/>
        <w:ind w:left="360" w:right="352"/>
        <w:rPr>
          <w:lang w:val="en-IN"/>
        </w:rPr>
      </w:pPr>
      <w:r w:rsidRPr="006148EC">
        <w:rPr>
          <w:lang w:val="en-IN"/>
        </w:rPr>
        <w:t xml:space="preserve">To robustly assess resettlement suitability, we developed an MCE framework structured around three main criteria pillars and 18 sub-indicators [43, 55]. This structure ensures that both </w:t>
      </w:r>
      <w:r w:rsidRPr="006148EC">
        <w:rPr>
          <w:b/>
          <w:lang w:val="en-IN"/>
        </w:rPr>
        <w:t>hard (physical)</w:t>
      </w:r>
      <w:r w:rsidRPr="006148EC">
        <w:rPr>
          <w:lang w:val="en-IN"/>
        </w:rPr>
        <w:t xml:space="preserve"> and </w:t>
      </w:r>
      <w:r w:rsidRPr="006148EC">
        <w:rPr>
          <w:b/>
          <w:lang w:val="en-IN"/>
        </w:rPr>
        <w:t>soft (socio-economic)</w:t>
      </w:r>
      <w:r w:rsidRPr="006148EC">
        <w:rPr>
          <w:lang w:val="en-IN"/>
        </w:rPr>
        <w:t xml:space="preserve"> factors are considered, reflecting the dual objectives of ER.</w:t>
      </w:r>
    </w:p>
    <w:p w14:paraId="7FF48DC4" w14:textId="77777777" w:rsidR="00E34B5B" w:rsidRPr="006148EC" w:rsidRDefault="00E34B5B" w:rsidP="00E34B5B">
      <w:pPr>
        <w:pStyle w:val="BodyText"/>
        <w:spacing w:before="0" w:line="276" w:lineRule="auto"/>
        <w:ind w:left="360" w:right="352"/>
        <w:rPr>
          <w:lang w:val="en-IN"/>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120"/>
        <w:gridCol w:w="3120"/>
        <w:gridCol w:w="3120"/>
      </w:tblGrid>
      <w:tr w:rsidR="006148EC" w:rsidRPr="006148EC" w14:paraId="656D2FC3" w14:textId="77777777" w:rsidTr="00E34B5B">
        <w:trPr>
          <w:jc w:val="center"/>
        </w:trPr>
        <w:tc>
          <w:tcPr>
            <w:tcW w:w="3120" w:type="dxa"/>
            <w:shd w:val="clear" w:color="auto" w:fill="F8FAFD"/>
            <w:tcMar>
              <w:top w:w="120" w:type="dxa"/>
              <w:left w:w="180" w:type="dxa"/>
              <w:bottom w:w="120" w:type="dxa"/>
              <w:right w:w="180" w:type="dxa"/>
            </w:tcMar>
          </w:tcPr>
          <w:p w14:paraId="776BEB61" w14:textId="77777777" w:rsidR="006148EC" w:rsidRPr="006148EC" w:rsidRDefault="006148EC" w:rsidP="00E34B5B">
            <w:pPr>
              <w:pStyle w:val="BodyText"/>
              <w:spacing w:before="0"/>
              <w:ind w:left="360" w:right="352"/>
              <w:jc w:val="left"/>
              <w:rPr>
                <w:lang w:val="en-IN"/>
              </w:rPr>
            </w:pPr>
            <w:r w:rsidRPr="006148EC">
              <w:rPr>
                <w:lang w:val="en-IN"/>
              </w:rPr>
              <w:t>Criteria Pillar</w:t>
            </w:r>
          </w:p>
        </w:tc>
        <w:tc>
          <w:tcPr>
            <w:tcW w:w="3120" w:type="dxa"/>
            <w:shd w:val="clear" w:color="auto" w:fill="F8FAFD"/>
            <w:tcMar>
              <w:top w:w="120" w:type="dxa"/>
              <w:left w:w="180" w:type="dxa"/>
              <w:bottom w:w="120" w:type="dxa"/>
              <w:right w:w="180" w:type="dxa"/>
            </w:tcMar>
          </w:tcPr>
          <w:p w14:paraId="0231EB08" w14:textId="77777777" w:rsidR="006148EC" w:rsidRPr="006148EC" w:rsidRDefault="006148EC" w:rsidP="00E34B5B">
            <w:pPr>
              <w:pStyle w:val="BodyText"/>
              <w:spacing w:before="0"/>
              <w:ind w:left="360" w:right="352"/>
              <w:jc w:val="left"/>
              <w:rPr>
                <w:lang w:val="en-IN"/>
              </w:rPr>
            </w:pPr>
            <w:r w:rsidRPr="006148EC">
              <w:rPr>
                <w:lang w:val="en-IN"/>
              </w:rPr>
              <w:t>Sub-Indicators (Examples)</w:t>
            </w:r>
          </w:p>
        </w:tc>
        <w:tc>
          <w:tcPr>
            <w:tcW w:w="3120" w:type="dxa"/>
            <w:shd w:val="clear" w:color="auto" w:fill="F8FAFD"/>
            <w:tcMar>
              <w:top w:w="120" w:type="dxa"/>
              <w:left w:w="180" w:type="dxa"/>
              <w:bottom w:w="120" w:type="dxa"/>
              <w:right w:w="180" w:type="dxa"/>
            </w:tcMar>
          </w:tcPr>
          <w:p w14:paraId="5012344C" w14:textId="77777777" w:rsidR="006148EC" w:rsidRPr="006148EC" w:rsidRDefault="006148EC" w:rsidP="00E34B5B">
            <w:pPr>
              <w:pStyle w:val="BodyText"/>
              <w:spacing w:before="0"/>
              <w:ind w:left="360" w:right="352"/>
              <w:jc w:val="left"/>
              <w:rPr>
                <w:lang w:val="en-IN"/>
              </w:rPr>
            </w:pPr>
            <w:r w:rsidRPr="006148EC">
              <w:rPr>
                <w:lang w:val="en-IN"/>
              </w:rPr>
              <w:t>Rationale &amp; Citation Support</w:t>
            </w:r>
          </w:p>
        </w:tc>
      </w:tr>
      <w:tr w:rsidR="006148EC" w:rsidRPr="006148EC" w14:paraId="6D46C04F" w14:textId="77777777" w:rsidTr="00E34B5B">
        <w:trPr>
          <w:jc w:val="center"/>
        </w:trPr>
        <w:tc>
          <w:tcPr>
            <w:tcW w:w="3120" w:type="dxa"/>
            <w:shd w:val="clear" w:color="auto" w:fill="F8FAFD"/>
            <w:tcMar>
              <w:top w:w="120" w:type="dxa"/>
              <w:left w:w="180" w:type="dxa"/>
              <w:bottom w:w="120" w:type="dxa"/>
              <w:right w:w="180" w:type="dxa"/>
            </w:tcMar>
          </w:tcPr>
          <w:p w14:paraId="28CE28C1" w14:textId="77777777" w:rsidR="006148EC" w:rsidRPr="006148EC" w:rsidRDefault="006148EC" w:rsidP="00E34B5B">
            <w:pPr>
              <w:pStyle w:val="BodyText"/>
              <w:spacing w:before="0"/>
              <w:ind w:left="360" w:right="352"/>
              <w:jc w:val="left"/>
              <w:rPr>
                <w:b/>
                <w:lang w:val="en-IN"/>
              </w:rPr>
            </w:pPr>
            <w:r w:rsidRPr="006148EC">
              <w:rPr>
                <w:b/>
                <w:lang w:val="en-IN"/>
              </w:rPr>
              <w:t>I. Natural-Ecological Suitability</w:t>
            </w:r>
          </w:p>
        </w:tc>
        <w:tc>
          <w:tcPr>
            <w:tcW w:w="3120" w:type="dxa"/>
            <w:shd w:val="clear" w:color="auto" w:fill="F8FAFD"/>
            <w:tcMar>
              <w:top w:w="120" w:type="dxa"/>
              <w:left w:w="180" w:type="dxa"/>
              <w:bottom w:w="120" w:type="dxa"/>
              <w:right w:w="180" w:type="dxa"/>
            </w:tcMar>
          </w:tcPr>
          <w:p w14:paraId="07FE3096" w14:textId="77777777" w:rsidR="006148EC" w:rsidRPr="006148EC" w:rsidRDefault="006148EC" w:rsidP="00E34B5B">
            <w:pPr>
              <w:pStyle w:val="BodyText"/>
              <w:spacing w:before="0"/>
              <w:ind w:left="360" w:right="352"/>
              <w:jc w:val="left"/>
              <w:rPr>
                <w:lang w:val="en-IN"/>
              </w:rPr>
            </w:pPr>
            <w:r w:rsidRPr="006148EC">
              <w:rPr>
                <w:lang w:val="en-IN"/>
              </w:rPr>
              <w:t>Water Resource Carrying Capacity (C1), Landslide/Geological Hazard Risk (C2), Land Use Potential (C3), Vegetation Cover (C4)</w:t>
            </w:r>
          </w:p>
        </w:tc>
        <w:tc>
          <w:tcPr>
            <w:tcW w:w="3120" w:type="dxa"/>
            <w:shd w:val="clear" w:color="auto" w:fill="F8FAFD"/>
            <w:tcMar>
              <w:top w:w="120" w:type="dxa"/>
              <w:left w:w="180" w:type="dxa"/>
              <w:bottom w:w="120" w:type="dxa"/>
              <w:right w:w="180" w:type="dxa"/>
            </w:tcMar>
          </w:tcPr>
          <w:p w14:paraId="3D9A8E02" w14:textId="77777777" w:rsidR="006148EC" w:rsidRPr="006148EC" w:rsidRDefault="006148EC" w:rsidP="00E34B5B">
            <w:pPr>
              <w:pStyle w:val="BodyText"/>
              <w:spacing w:before="0"/>
              <w:ind w:left="360" w:right="352"/>
              <w:jc w:val="left"/>
              <w:rPr>
                <w:lang w:val="en-IN"/>
              </w:rPr>
            </w:pPr>
            <w:r w:rsidRPr="006148EC">
              <w:rPr>
                <w:lang w:val="en-IN"/>
              </w:rPr>
              <w:t>Determines long-term environmental sustainability and physical safety [8, 47, 54, 57].</w:t>
            </w:r>
          </w:p>
        </w:tc>
      </w:tr>
      <w:tr w:rsidR="006148EC" w:rsidRPr="006148EC" w14:paraId="0AFCA888" w14:textId="77777777" w:rsidTr="00E34B5B">
        <w:trPr>
          <w:jc w:val="center"/>
        </w:trPr>
        <w:tc>
          <w:tcPr>
            <w:tcW w:w="3120" w:type="dxa"/>
            <w:shd w:val="clear" w:color="auto" w:fill="F8FAFD"/>
            <w:tcMar>
              <w:top w:w="120" w:type="dxa"/>
              <w:left w:w="180" w:type="dxa"/>
              <w:bottom w:w="120" w:type="dxa"/>
              <w:right w:w="180" w:type="dxa"/>
            </w:tcMar>
          </w:tcPr>
          <w:p w14:paraId="4E4C91E1" w14:textId="77777777" w:rsidR="006148EC" w:rsidRPr="006148EC" w:rsidRDefault="006148EC" w:rsidP="00E34B5B">
            <w:pPr>
              <w:pStyle w:val="BodyText"/>
              <w:spacing w:before="0"/>
              <w:ind w:left="360" w:right="352"/>
              <w:jc w:val="left"/>
              <w:rPr>
                <w:b/>
                <w:lang w:val="en-IN"/>
              </w:rPr>
            </w:pPr>
            <w:r w:rsidRPr="006148EC">
              <w:rPr>
                <w:b/>
                <w:lang w:val="en-IN"/>
              </w:rPr>
              <w:t>II. Socio-Economic Suitability</w:t>
            </w:r>
          </w:p>
        </w:tc>
        <w:tc>
          <w:tcPr>
            <w:tcW w:w="3120" w:type="dxa"/>
            <w:shd w:val="clear" w:color="auto" w:fill="F8FAFD"/>
            <w:tcMar>
              <w:top w:w="120" w:type="dxa"/>
              <w:left w:w="180" w:type="dxa"/>
              <w:bottom w:w="120" w:type="dxa"/>
              <w:right w:w="180" w:type="dxa"/>
            </w:tcMar>
          </w:tcPr>
          <w:p w14:paraId="6A855641" w14:textId="77777777" w:rsidR="006148EC" w:rsidRPr="006148EC" w:rsidRDefault="006148EC" w:rsidP="00E34B5B">
            <w:pPr>
              <w:pStyle w:val="BodyText"/>
              <w:spacing w:before="0"/>
              <w:ind w:left="360" w:right="352"/>
              <w:jc w:val="left"/>
              <w:rPr>
                <w:lang w:val="en-IN"/>
              </w:rPr>
            </w:pPr>
            <w:r w:rsidRPr="006148EC">
              <w:rPr>
                <w:lang w:val="en-IN"/>
              </w:rPr>
              <w:t xml:space="preserve">Distance to Employment </w:t>
            </w:r>
            <w:proofErr w:type="spellStart"/>
            <w:r w:rsidRPr="006148EC">
              <w:rPr>
                <w:lang w:val="en-IN"/>
              </w:rPr>
              <w:t>Centers</w:t>
            </w:r>
            <w:proofErr w:type="spellEnd"/>
            <w:r w:rsidRPr="006148EC">
              <w:rPr>
                <w:lang w:val="en-IN"/>
              </w:rPr>
              <w:t xml:space="preserve"> (C5), Local Economic Diversity Index (C6), Availability of Vocational Training (C7), Housing Quality/Density (C8), Community Social Infrastructure (C9)</w:t>
            </w:r>
          </w:p>
        </w:tc>
        <w:tc>
          <w:tcPr>
            <w:tcW w:w="3120" w:type="dxa"/>
            <w:shd w:val="clear" w:color="auto" w:fill="F8FAFD"/>
            <w:tcMar>
              <w:top w:w="120" w:type="dxa"/>
              <w:left w:w="180" w:type="dxa"/>
              <w:bottom w:w="120" w:type="dxa"/>
              <w:right w:w="180" w:type="dxa"/>
            </w:tcMar>
          </w:tcPr>
          <w:p w14:paraId="184ADC93" w14:textId="77777777" w:rsidR="006148EC" w:rsidRPr="006148EC" w:rsidRDefault="006148EC" w:rsidP="00E34B5B">
            <w:pPr>
              <w:pStyle w:val="BodyText"/>
              <w:spacing w:before="0"/>
              <w:ind w:left="360" w:right="352"/>
              <w:jc w:val="left"/>
              <w:rPr>
                <w:lang w:val="en-IN"/>
              </w:rPr>
            </w:pPr>
            <w:r w:rsidRPr="006148EC">
              <w:rPr>
                <w:lang w:val="en-IN"/>
              </w:rPr>
              <w:t>Crucial for livelihood resilience and integration; addresses key gaps identified in post-resettlement studies [15, 24, 37, 61].</w:t>
            </w:r>
          </w:p>
        </w:tc>
      </w:tr>
      <w:tr w:rsidR="006148EC" w:rsidRPr="006148EC" w14:paraId="362F9582" w14:textId="77777777" w:rsidTr="00E34B5B">
        <w:trPr>
          <w:trHeight w:val="797"/>
          <w:jc w:val="center"/>
        </w:trPr>
        <w:tc>
          <w:tcPr>
            <w:tcW w:w="3120" w:type="dxa"/>
            <w:shd w:val="clear" w:color="auto" w:fill="F8FAFD"/>
            <w:tcMar>
              <w:top w:w="120" w:type="dxa"/>
              <w:left w:w="180" w:type="dxa"/>
              <w:bottom w:w="120" w:type="dxa"/>
              <w:right w:w="180" w:type="dxa"/>
            </w:tcMar>
          </w:tcPr>
          <w:p w14:paraId="19DA1491" w14:textId="77777777" w:rsidR="006148EC" w:rsidRPr="006148EC" w:rsidRDefault="006148EC" w:rsidP="00E34B5B">
            <w:pPr>
              <w:pStyle w:val="BodyText"/>
              <w:spacing w:before="0"/>
              <w:ind w:left="360" w:right="352"/>
              <w:jc w:val="left"/>
              <w:rPr>
                <w:b/>
                <w:lang w:val="en-IN"/>
              </w:rPr>
            </w:pPr>
            <w:r w:rsidRPr="006148EC">
              <w:rPr>
                <w:b/>
                <w:lang w:val="en-IN"/>
              </w:rPr>
              <w:t>III. Location-Accessibility Suitability</w:t>
            </w:r>
          </w:p>
        </w:tc>
        <w:tc>
          <w:tcPr>
            <w:tcW w:w="3120" w:type="dxa"/>
            <w:shd w:val="clear" w:color="auto" w:fill="F8FAFD"/>
            <w:tcMar>
              <w:top w:w="120" w:type="dxa"/>
              <w:left w:w="180" w:type="dxa"/>
              <w:bottom w:w="120" w:type="dxa"/>
              <w:right w:w="180" w:type="dxa"/>
            </w:tcMar>
          </w:tcPr>
          <w:p w14:paraId="5E53CA21" w14:textId="77777777" w:rsidR="006148EC" w:rsidRPr="006148EC" w:rsidRDefault="006148EC" w:rsidP="00E34B5B">
            <w:pPr>
              <w:pStyle w:val="BodyText"/>
              <w:spacing w:before="0"/>
              <w:ind w:left="360" w:right="352"/>
              <w:jc w:val="left"/>
              <w:rPr>
                <w:lang w:val="en-IN"/>
              </w:rPr>
            </w:pPr>
            <w:r w:rsidRPr="006148EC">
              <w:rPr>
                <w:lang w:val="en-IN"/>
              </w:rPr>
              <w:t xml:space="preserve">Road Network Density (C10), Accessibility to Hospitals (C11), Accessibility to Primary/Secondary Schools (C12), Proximity to Market/Commercial </w:t>
            </w:r>
            <w:proofErr w:type="spellStart"/>
            <w:r w:rsidRPr="006148EC">
              <w:rPr>
                <w:lang w:val="en-IN"/>
              </w:rPr>
              <w:t>Centers</w:t>
            </w:r>
            <w:proofErr w:type="spellEnd"/>
            <w:r w:rsidRPr="006148EC">
              <w:rPr>
                <w:lang w:val="en-IN"/>
              </w:rPr>
              <w:t xml:space="preserve"> (C13), Public Transit </w:t>
            </w:r>
            <w:r w:rsidRPr="006148EC">
              <w:rPr>
                <w:lang w:val="en-IN"/>
              </w:rPr>
              <w:lastRenderedPageBreak/>
              <w:t>Availability (C14)</w:t>
            </w:r>
          </w:p>
        </w:tc>
        <w:tc>
          <w:tcPr>
            <w:tcW w:w="3120" w:type="dxa"/>
            <w:shd w:val="clear" w:color="auto" w:fill="F8FAFD"/>
            <w:tcMar>
              <w:top w:w="120" w:type="dxa"/>
              <w:left w:w="180" w:type="dxa"/>
              <w:bottom w:w="120" w:type="dxa"/>
              <w:right w:w="180" w:type="dxa"/>
            </w:tcMar>
          </w:tcPr>
          <w:p w14:paraId="4F7E2A74" w14:textId="77777777" w:rsidR="006148EC" w:rsidRPr="006148EC" w:rsidRDefault="006148EC" w:rsidP="00E34B5B">
            <w:pPr>
              <w:pStyle w:val="BodyText"/>
              <w:spacing w:before="0"/>
              <w:ind w:left="360" w:right="352"/>
              <w:jc w:val="left"/>
              <w:rPr>
                <w:lang w:val="en-IN"/>
              </w:rPr>
            </w:pPr>
            <w:r w:rsidRPr="006148EC">
              <w:rPr>
                <w:lang w:val="en-IN"/>
              </w:rPr>
              <w:lastRenderedPageBreak/>
              <w:t>Ensures access to necessary services and integration into the broader regional system [19, 28, 49].</w:t>
            </w:r>
          </w:p>
        </w:tc>
      </w:tr>
    </w:tbl>
    <w:p w14:paraId="5A876F3F" w14:textId="77777777" w:rsidR="006148EC" w:rsidRPr="006148EC" w:rsidRDefault="006148EC" w:rsidP="006148EC">
      <w:pPr>
        <w:pStyle w:val="BodyText"/>
        <w:spacing w:before="0" w:line="276" w:lineRule="auto"/>
        <w:ind w:left="360" w:right="352"/>
        <w:rPr>
          <w:lang w:val="en-IN"/>
        </w:rPr>
      </w:pPr>
    </w:p>
    <w:p w14:paraId="2502292C" w14:textId="5DF746C4" w:rsidR="006148EC" w:rsidRPr="006148EC" w:rsidRDefault="006148EC" w:rsidP="006148EC">
      <w:pPr>
        <w:pStyle w:val="BodyText"/>
        <w:spacing w:line="276" w:lineRule="auto"/>
        <w:ind w:left="360" w:right="352"/>
        <w:rPr>
          <w:b/>
          <w:lang w:val="en-IN"/>
        </w:rPr>
      </w:pPr>
      <w:r w:rsidRPr="006148EC">
        <w:rPr>
          <w:b/>
          <w:lang w:val="en-IN"/>
        </w:rPr>
        <w:t>Indicator Selection and Data Sources</w:t>
      </w:r>
    </w:p>
    <w:p w14:paraId="5EF24F7B" w14:textId="77777777" w:rsidR="006148EC" w:rsidRPr="006148EC" w:rsidRDefault="006148EC" w:rsidP="006148EC">
      <w:pPr>
        <w:pStyle w:val="BodyText"/>
        <w:spacing w:line="276" w:lineRule="auto"/>
        <w:ind w:left="360" w:right="352"/>
        <w:rPr>
          <w:lang w:val="en-IN"/>
        </w:rPr>
      </w:pPr>
      <w:r w:rsidRPr="006148EC">
        <w:rPr>
          <w:lang w:val="en-IN"/>
        </w:rPr>
        <w:t>Data collection utilized a triangulation approach combining spatial data, statistical records, and field data:</w:t>
      </w:r>
    </w:p>
    <w:p w14:paraId="10DFFB00" w14:textId="77777777" w:rsidR="006148EC" w:rsidRPr="006148EC" w:rsidRDefault="006148EC" w:rsidP="006148EC">
      <w:pPr>
        <w:pStyle w:val="BodyText"/>
        <w:numPr>
          <w:ilvl w:val="0"/>
          <w:numId w:val="7"/>
        </w:numPr>
        <w:spacing w:line="276" w:lineRule="auto"/>
        <w:ind w:right="352"/>
        <w:rPr>
          <w:lang w:val="en-IN"/>
        </w:rPr>
      </w:pPr>
      <w:r w:rsidRPr="006148EC">
        <w:rPr>
          <w:b/>
          <w:lang w:val="en-IN"/>
        </w:rPr>
        <w:t>GIS and Remote Sensing (RS) Data:</w:t>
      </w:r>
      <w:r w:rsidRPr="006148EC">
        <w:rPr>
          <w:lang w:val="en-IN"/>
        </w:rPr>
        <w:t xml:space="preserve"> Used for indicators C2, C3, C4, C10, and C14. Data included high-resolution satellite imagery for land cover [38], digital elevation models (DEM) for slope/aspect, and road network vector layers [8]. For instance, landslide risk (C2) was </w:t>
      </w:r>
      <w:proofErr w:type="spellStart"/>
      <w:r w:rsidRPr="006148EC">
        <w:rPr>
          <w:lang w:val="en-IN"/>
        </w:rPr>
        <w:t>modeled</w:t>
      </w:r>
      <w:proofErr w:type="spellEnd"/>
      <w:r w:rsidRPr="006148EC">
        <w:rPr>
          <w:lang w:val="en-IN"/>
        </w:rPr>
        <w:t xml:space="preserve"> using historical data and topographical factors [46, 47].</w:t>
      </w:r>
    </w:p>
    <w:p w14:paraId="357011DA" w14:textId="69F44D5B" w:rsidR="006148EC" w:rsidRPr="006148EC" w:rsidRDefault="006148EC" w:rsidP="006148EC">
      <w:pPr>
        <w:pStyle w:val="BodyText"/>
        <w:numPr>
          <w:ilvl w:val="0"/>
          <w:numId w:val="7"/>
        </w:numPr>
        <w:spacing w:line="276" w:lineRule="auto"/>
        <w:ind w:right="352"/>
        <w:rPr>
          <w:lang w:val="en-IN"/>
        </w:rPr>
      </w:pPr>
      <w:r w:rsidRPr="006148EC">
        <w:rPr>
          <w:b/>
          <w:lang w:val="en-IN"/>
        </w:rPr>
        <w:t>Statistical and Survey Data:</w:t>
      </w:r>
      <w:r w:rsidRPr="006148EC">
        <w:rPr>
          <w:lang w:val="en-IN"/>
        </w:rPr>
        <w:t xml:space="preserve"> Used for indicators C1, C5, C6, C7, C8, C9, C11, C12, and C13. Water Resource Carrying Capacity (C1) was calculated based on local hydrological and population density data [57]. Socio-economic indicators (e.g., employment, services) were derived from official provincial statistics and localized field surveys conducted in 2023.</w:t>
      </w:r>
    </w:p>
    <w:p w14:paraId="1AC36D42" w14:textId="5C48870E" w:rsidR="006148EC" w:rsidRPr="006148EC" w:rsidRDefault="006148EC" w:rsidP="006148EC">
      <w:pPr>
        <w:pStyle w:val="BodyText"/>
        <w:spacing w:line="276" w:lineRule="auto"/>
        <w:ind w:left="360" w:right="352"/>
        <w:rPr>
          <w:b/>
          <w:lang w:val="en-IN"/>
        </w:rPr>
      </w:pPr>
      <w:r w:rsidRPr="006148EC">
        <w:rPr>
          <w:b/>
          <w:lang w:val="en-IN"/>
        </w:rPr>
        <w:t>Data Normalization</w:t>
      </w:r>
    </w:p>
    <w:p w14:paraId="6BB4D7A7" w14:textId="283C14A4" w:rsidR="006148EC" w:rsidRPr="006148EC" w:rsidRDefault="006148EC" w:rsidP="006148EC">
      <w:pPr>
        <w:pStyle w:val="BodyText"/>
        <w:spacing w:line="276" w:lineRule="auto"/>
        <w:ind w:left="360" w:right="352"/>
        <w:rPr>
          <w:lang w:val="en-IN"/>
        </w:rPr>
      </w:pPr>
      <w:r w:rsidRPr="006148EC">
        <w:rPr>
          <w:lang w:val="en-IN"/>
        </w:rPr>
        <w:t xml:space="preserve">All indicators were converted to a uniform scale </w:t>
      </w:r>
      <w:r w:rsidRPr="006148EC">
        <w:rPr>
          <w:noProof/>
          <w:lang w:val="en-IN"/>
        </w:rPr>
        <w:drawing>
          <wp:inline distT="0" distB="0" distL="0" distR="0" wp14:anchorId="1B604B8E" wp14:editId="372AC1E0">
            <wp:extent cx="38100" cy="19050"/>
            <wp:effectExtent l="0" t="0" r="0" b="0"/>
            <wp:docPr id="185012785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to facilitate aggregation, where 100 represents the highest suitability and 0 the lowest. Both positive (e.g., Road Density) and negative (e.g., Landslide Risk, Distance to Jobs) indicators were normalized appropriately [41, 55].</w:t>
      </w:r>
    </w:p>
    <w:p w14:paraId="2D3F7DF5" w14:textId="23F08CC7" w:rsidR="006148EC" w:rsidRPr="006148EC" w:rsidRDefault="006148EC" w:rsidP="006148EC">
      <w:pPr>
        <w:pStyle w:val="BodyText"/>
        <w:spacing w:line="276" w:lineRule="auto"/>
        <w:ind w:left="360" w:right="352"/>
        <w:rPr>
          <w:b/>
          <w:lang w:val="en-IN"/>
        </w:rPr>
      </w:pPr>
      <w:r w:rsidRPr="006148EC">
        <w:rPr>
          <w:b/>
          <w:lang w:val="en-IN"/>
        </w:rPr>
        <w:t>Weight Determination and Suitability Assessment Model</w:t>
      </w:r>
    </w:p>
    <w:p w14:paraId="00EFE24D" w14:textId="5E5586C8" w:rsidR="006148EC" w:rsidRPr="006148EC" w:rsidRDefault="006148EC" w:rsidP="006148EC">
      <w:pPr>
        <w:pStyle w:val="BodyText"/>
        <w:spacing w:line="276" w:lineRule="auto"/>
        <w:ind w:left="360" w:right="352"/>
        <w:rPr>
          <w:b/>
          <w:lang w:val="en-IN"/>
        </w:rPr>
      </w:pPr>
      <w:r w:rsidRPr="006148EC">
        <w:rPr>
          <w:b/>
          <w:lang w:val="en-IN"/>
        </w:rPr>
        <w:t>Analytical Hierarchy Process (AHP)</w:t>
      </w:r>
    </w:p>
    <w:p w14:paraId="0DC94911" w14:textId="72987EE9" w:rsidR="006148EC" w:rsidRPr="006148EC" w:rsidRDefault="006148EC" w:rsidP="006148EC">
      <w:pPr>
        <w:pStyle w:val="BodyText"/>
        <w:spacing w:line="276" w:lineRule="auto"/>
        <w:ind w:left="360" w:right="352"/>
        <w:rPr>
          <w:lang w:val="en-IN"/>
        </w:rPr>
      </w:pPr>
      <w:r w:rsidRPr="006148EC">
        <w:rPr>
          <w:lang w:val="en-IN"/>
        </w:rPr>
        <w:t>The importance weights (</w:t>
      </w:r>
      <w:r w:rsidRPr="006148EC">
        <w:rPr>
          <w:noProof/>
          <w:lang w:val="en-IN"/>
        </w:rPr>
        <w:drawing>
          <wp:inline distT="0" distB="0" distL="0" distR="0" wp14:anchorId="583F357D" wp14:editId="22C33DE8">
            <wp:extent cx="38100" cy="19050"/>
            <wp:effectExtent l="0" t="0" r="0" b="0"/>
            <wp:docPr id="1938718027"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for the 18 sub-indicators were determined using the </w:t>
      </w:r>
      <w:r w:rsidRPr="006148EC">
        <w:rPr>
          <w:b/>
          <w:lang w:val="en-IN"/>
        </w:rPr>
        <w:t>Analytical Hierarchy Process (AHP)</w:t>
      </w:r>
      <w:r w:rsidRPr="006148EC">
        <w:rPr>
          <w:lang w:val="en-IN"/>
        </w:rPr>
        <w:t>, a robust Multi-Criteria Decision-Making (MCDM) technique [20, 52]. A panel of 15 experts (including physical geographers, urban planners, and provincial policy makers focused on ER) participated in pairwise comparisons.</w:t>
      </w:r>
    </w:p>
    <w:p w14:paraId="1777BDAA" w14:textId="06E8178A" w:rsidR="006148EC" w:rsidRPr="006148EC" w:rsidRDefault="006148EC" w:rsidP="006148EC">
      <w:pPr>
        <w:pStyle w:val="BodyText"/>
        <w:spacing w:line="276" w:lineRule="auto"/>
        <w:ind w:left="360" w:right="352"/>
        <w:rPr>
          <w:lang w:val="en-IN"/>
        </w:rPr>
      </w:pPr>
      <w:r w:rsidRPr="006148EC">
        <w:rPr>
          <w:lang w:val="en-IN"/>
        </w:rPr>
        <w:t xml:space="preserve">The resulting normalized weights confirmed the priority given to long-term sustainability factors in the arid context. The </w:t>
      </w:r>
      <w:r w:rsidRPr="006148EC">
        <w:rPr>
          <w:b/>
          <w:lang w:val="en-IN"/>
        </w:rPr>
        <w:t>Natural-Ecological Pillar (I)</w:t>
      </w:r>
      <w:r w:rsidRPr="006148EC">
        <w:rPr>
          <w:lang w:val="en-IN"/>
        </w:rPr>
        <w:t xml:space="preserve"> received the highest weight (</w:t>
      </w:r>
      <w:r w:rsidRPr="006148EC">
        <w:rPr>
          <w:noProof/>
          <w:lang w:val="en-IN"/>
        </w:rPr>
        <w:drawing>
          <wp:inline distT="0" distB="0" distL="0" distR="0" wp14:anchorId="0BF3F160" wp14:editId="274525AE">
            <wp:extent cx="38100" cy="19050"/>
            <wp:effectExtent l="0" t="0" r="0" b="0"/>
            <wp:docPr id="1360202338"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with </w:t>
      </w:r>
      <w:r w:rsidRPr="006148EC">
        <w:rPr>
          <w:b/>
          <w:lang w:val="en-IN"/>
        </w:rPr>
        <w:t>Water Resource Carrying Capacity (C1)</w:t>
      </w:r>
      <w:r w:rsidRPr="006148EC">
        <w:rPr>
          <w:lang w:val="en-IN"/>
        </w:rPr>
        <w:t xml:space="preserve"> emerging as the single most critical factor (</w:t>
      </w:r>
      <w:r w:rsidRPr="006148EC">
        <w:rPr>
          <w:noProof/>
          <w:lang w:val="en-IN"/>
        </w:rPr>
        <w:drawing>
          <wp:inline distT="0" distB="0" distL="0" distR="0" wp14:anchorId="287FB81C" wp14:editId="33E3050A">
            <wp:extent cx="38100" cy="19050"/>
            <wp:effectExtent l="0" t="0" r="0" b="0"/>
            <wp:docPr id="1979819928"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of the total). The </w:t>
      </w:r>
      <w:r w:rsidRPr="006148EC">
        <w:rPr>
          <w:b/>
          <w:lang w:val="en-IN"/>
        </w:rPr>
        <w:t>Socio-Economic Pillar (II)</w:t>
      </w:r>
      <w:r w:rsidRPr="006148EC">
        <w:rPr>
          <w:lang w:val="en-IN"/>
        </w:rPr>
        <w:t xml:space="preserve"> followed closely (</w:t>
      </w:r>
      <w:r w:rsidRPr="006148EC">
        <w:rPr>
          <w:noProof/>
          <w:lang w:val="en-IN"/>
        </w:rPr>
        <w:drawing>
          <wp:inline distT="0" distB="0" distL="0" distR="0" wp14:anchorId="46C6C18B" wp14:editId="5774B8D1">
            <wp:extent cx="38100" cy="19050"/>
            <wp:effectExtent l="0" t="0" r="0" b="0"/>
            <wp:docPr id="220074543"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emphasizing that economic viability is almost as important as the physical site itself, with </w:t>
      </w: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being the top-weighted socio-economic factor (</w:t>
      </w:r>
      <w:r w:rsidRPr="006148EC">
        <w:rPr>
          <w:noProof/>
          <w:lang w:val="en-IN"/>
        </w:rPr>
        <w:drawing>
          <wp:inline distT="0" distB="0" distL="0" distR="0" wp14:anchorId="51FBD440" wp14:editId="5144CCE1">
            <wp:extent cx="38100" cy="19050"/>
            <wp:effectExtent l="0" t="0" r="0" b="0"/>
            <wp:docPr id="1767399512"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w:t>
      </w:r>
    </w:p>
    <w:p w14:paraId="7A5F3FC2" w14:textId="1E8424AC" w:rsidR="006148EC" w:rsidRPr="006148EC" w:rsidRDefault="006148EC" w:rsidP="006148EC">
      <w:pPr>
        <w:pStyle w:val="BodyText"/>
        <w:spacing w:line="276" w:lineRule="auto"/>
        <w:ind w:left="360" w:right="352"/>
        <w:rPr>
          <w:b/>
          <w:lang w:val="en-IN"/>
        </w:rPr>
      </w:pPr>
      <w:r w:rsidRPr="006148EC">
        <w:rPr>
          <w:b/>
          <w:lang w:val="en-IN"/>
        </w:rPr>
        <w:lastRenderedPageBreak/>
        <w:t>Weighted Linear Combination (WLC) Model</w:t>
      </w:r>
    </w:p>
    <w:p w14:paraId="331DE665" w14:textId="3B2D9706" w:rsidR="006148EC" w:rsidRPr="006148EC" w:rsidRDefault="006148EC" w:rsidP="006148EC">
      <w:pPr>
        <w:pStyle w:val="BodyText"/>
        <w:spacing w:line="276" w:lineRule="auto"/>
        <w:ind w:left="360" w:right="352"/>
        <w:rPr>
          <w:lang w:val="en-IN"/>
        </w:rPr>
      </w:pPr>
      <w:r w:rsidRPr="006148EC">
        <w:rPr>
          <w:lang w:val="en-IN"/>
        </w:rPr>
        <w:t>The final Resettlement Suitability Index (</w:t>
      </w:r>
      <w:r w:rsidRPr="006148EC">
        <w:rPr>
          <w:noProof/>
          <w:lang w:val="en-IN"/>
        </w:rPr>
        <w:drawing>
          <wp:inline distT="0" distB="0" distL="0" distR="0" wp14:anchorId="450A8486" wp14:editId="1D93FC5A">
            <wp:extent cx="38100" cy="19050"/>
            <wp:effectExtent l="0" t="0" r="0" b="0"/>
            <wp:docPr id="1786255700"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for each site was calculated using the </w:t>
      </w:r>
      <w:r w:rsidRPr="006148EC">
        <w:rPr>
          <w:b/>
          <w:lang w:val="en-IN"/>
        </w:rPr>
        <w:t>Weighted Linear Combination (WLC)</w:t>
      </w:r>
      <w:r w:rsidRPr="006148EC">
        <w:rPr>
          <w:lang w:val="en-IN"/>
        </w:rPr>
        <w:t xml:space="preserve"> method, a standard approach in spatial MCE [1, 48]. This model aggregates the weighted, normalized scores:</w:t>
      </w:r>
    </w:p>
    <w:p w14:paraId="697466AA" w14:textId="3DF98F76" w:rsidR="006148EC" w:rsidRPr="006148EC" w:rsidRDefault="006148EC" w:rsidP="006148EC">
      <w:pPr>
        <w:pStyle w:val="BodyText"/>
        <w:spacing w:line="276" w:lineRule="auto"/>
        <w:ind w:left="360" w:right="352"/>
        <w:rPr>
          <w:lang w:val="en-IN"/>
        </w:rPr>
      </w:pPr>
      <w:r w:rsidRPr="006148EC">
        <w:rPr>
          <w:noProof/>
          <w:lang w:val="en-IN"/>
        </w:rPr>
        <w:drawing>
          <wp:inline distT="0" distB="0" distL="0" distR="0" wp14:anchorId="3F8AEA63" wp14:editId="28C4B657">
            <wp:extent cx="38100" cy="19050"/>
            <wp:effectExtent l="0" t="0" r="0" b="0"/>
            <wp:docPr id="1950025908"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Where </w:t>
      </w:r>
      <w:r w:rsidRPr="006148EC">
        <w:rPr>
          <w:noProof/>
          <w:lang w:val="en-IN"/>
        </w:rPr>
        <w:drawing>
          <wp:inline distT="0" distB="0" distL="0" distR="0" wp14:anchorId="4F4EAC69" wp14:editId="48881CC6">
            <wp:extent cx="38100" cy="19050"/>
            <wp:effectExtent l="0" t="0" r="0" b="0"/>
            <wp:docPr id="1774992799"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is the normalized weight of the </w:t>
      </w:r>
      <w:r w:rsidRPr="006148EC">
        <w:rPr>
          <w:noProof/>
          <w:lang w:val="en-IN"/>
        </w:rPr>
        <w:drawing>
          <wp:inline distT="0" distB="0" distL="0" distR="0" wp14:anchorId="183906D2" wp14:editId="1AA8606E">
            <wp:extent cx="38100" cy="19050"/>
            <wp:effectExtent l="0" t="0" r="0" b="0"/>
            <wp:docPr id="365941553"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w:t>
      </w:r>
      <w:proofErr w:type="spellStart"/>
      <w:r w:rsidRPr="006148EC">
        <w:rPr>
          <w:lang w:val="en-IN"/>
        </w:rPr>
        <w:t>th</w:t>
      </w:r>
      <w:proofErr w:type="spellEnd"/>
      <w:r w:rsidRPr="006148EC">
        <w:rPr>
          <w:lang w:val="en-IN"/>
        </w:rPr>
        <w:t xml:space="preserve"> sub-indicator, and </w:t>
      </w:r>
      <w:r w:rsidRPr="006148EC">
        <w:rPr>
          <w:noProof/>
          <w:lang w:val="en-IN"/>
        </w:rPr>
        <w:drawing>
          <wp:inline distT="0" distB="0" distL="0" distR="0" wp14:anchorId="5EC7757D" wp14:editId="51934AC6">
            <wp:extent cx="38100" cy="19050"/>
            <wp:effectExtent l="0" t="0" r="0" b="0"/>
            <wp:docPr id="272884055"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is the normalized suitability score (0-100) of the </w:t>
      </w:r>
      <w:r w:rsidRPr="006148EC">
        <w:rPr>
          <w:noProof/>
          <w:lang w:val="en-IN"/>
        </w:rPr>
        <w:drawing>
          <wp:inline distT="0" distB="0" distL="0" distR="0" wp14:anchorId="24F31607" wp14:editId="0004C201">
            <wp:extent cx="38100" cy="19050"/>
            <wp:effectExtent l="0" t="0" r="0" b="0"/>
            <wp:docPr id="93727114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w:t>
      </w:r>
      <w:proofErr w:type="spellStart"/>
      <w:r w:rsidRPr="006148EC">
        <w:rPr>
          <w:lang w:val="en-IN"/>
        </w:rPr>
        <w:t>th</w:t>
      </w:r>
      <w:proofErr w:type="spellEnd"/>
      <w:r w:rsidRPr="006148EC">
        <w:rPr>
          <w:lang w:val="en-IN"/>
        </w:rPr>
        <w:t xml:space="preserve"> sub-indicator for a given site. The resulting </w:t>
      </w:r>
      <w:r w:rsidRPr="006148EC">
        <w:rPr>
          <w:noProof/>
          <w:lang w:val="en-IN"/>
        </w:rPr>
        <w:drawing>
          <wp:inline distT="0" distB="0" distL="0" distR="0" wp14:anchorId="1CA0C750" wp14:editId="55BE4909">
            <wp:extent cx="38100" cy="19050"/>
            <wp:effectExtent l="0" t="0" r="0" b="0"/>
            <wp:docPr id="81221882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also falls in the range of </w:t>
      </w:r>
      <w:r w:rsidRPr="006148EC">
        <w:rPr>
          <w:noProof/>
          <w:lang w:val="en-IN"/>
        </w:rPr>
        <w:drawing>
          <wp:inline distT="0" distB="0" distL="0" distR="0" wp14:anchorId="5F0B0773" wp14:editId="643B65D3">
            <wp:extent cx="38100" cy="19050"/>
            <wp:effectExtent l="0" t="0" r="0" b="0"/>
            <wp:docPr id="1894242323"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018394AF" w14:textId="2A01799C" w:rsidR="006148EC" w:rsidRPr="006148EC" w:rsidRDefault="006148EC" w:rsidP="006148EC">
      <w:pPr>
        <w:pStyle w:val="BodyText"/>
        <w:spacing w:line="276" w:lineRule="auto"/>
        <w:ind w:left="360" w:right="352"/>
        <w:rPr>
          <w:b/>
          <w:lang w:val="en-IN"/>
        </w:rPr>
      </w:pPr>
      <w:r w:rsidRPr="006148EC">
        <w:rPr>
          <w:b/>
          <w:lang w:val="en-IN"/>
        </w:rPr>
        <w:t>Classification and Grading</w:t>
      </w:r>
    </w:p>
    <w:p w14:paraId="2FEBB58C" w14:textId="76D69B1C" w:rsidR="006148EC" w:rsidRPr="006148EC" w:rsidRDefault="006148EC" w:rsidP="006148EC">
      <w:pPr>
        <w:pStyle w:val="BodyText"/>
        <w:spacing w:line="276" w:lineRule="auto"/>
        <w:ind w:left="360" w:right="352"/>
        <w:rPr>
          <w:lang w:val="en-IN"/>
        </w:rPr>
      </w:pPr>
      <w:r w:rsidRPr="006148EC">
        <w:rPr>
          <w:lang w:val="en-IN"/>
        </w:rPr>
        <w:t xml:space="preserve">The calculated </w:t>
      </w:r>
      <w:r w:rsidRPr="006148EC">
        <w:rPr>
          <w:noProof/>
          <w:lang w:val="en-IN"/>
        </w:rPr>
        <w:drawing>
          <wp:inline distT="0" distB="0" distL="0" distR="0" wp14:anchorId="4529BA3E" wp14:editId="534A4B66">
            <wp:extent cx="38100" cy="19050"/>
            <wp:effectExtent l="0" t="0" r="0" b="0"/>
            <wp:docPr id="861597759"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scores were classified into four discrete suitability grades based on established MCE thresholds:</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4680"/>
        <w:gridCol w:w="4680"/>
      </w:tblGrid>
      <w:tr w:rsidR="006148EC" w:rsidRPr="006148EC" w14:paraId="396CE12C" w14:textId="77777777" w:rsidTr="00E34B5B">
        <w:trPr>
          <w:jc w:val="center"/>
        </w:trPr>
        <w:tc>
          <w:tcPr>
            <w:tcW w:w="4680" w:type="dxa"/>
            <w:shd w:val="clear" w:color="auto" w:fill="F8FAFD"/>
            <w:tcMar>
              <w:top w:w="120" w:type="dxa"/>
              <w:left w:w="180" w:type="dxa"/>
              <w:bottom w:w="120" w:type="dxa"/>
              <w:right w:w="180" w:type="dxa"/>
            </w:tcMar>
          </w:tcPr>
          <w:p w14:paraId="00A089A4" w14:textId="77777777" w:rsidR="006148EC" w:rsidRPr="006148EC" w:rsidRDefault="006148EC" w:rsidP="006148EC">
            <w:pPr>
              <w:pStyle w:val="BodyText"/>
              <w:spacing w:before="0" w:line="276" w:lineRule="auto"/>
              <w:ind w:left="360" w:right="352"/>
              <w:rPr>
                <w:lang w:val="en-IN"/>
              </w:rPr>
            </w:pPr>
            <w:r w:rsidRPr="006148EC">
              <w:rPr>
                <w:lang w:val="en-IN"/>
              </w:rPr>
              <w:t>RSI Score Range</w:t>
            </w:r>
          </w:p>
        </w:tc>
        <w:tc>
          <w:tcPr>
            <w:tcW w:w="4680" w:type="dxa"/>
            <w:shd w:val="clear" w:color="auto" w:fill="F8FAFD"/>
            <w:tcMar>
              <w:top w:w="120" w:type="dxa"/>
              <w:left w:w="180" w:type="dxa"/>
              <w:bottom w:w="120" w:type="dxa"/>
              <w:right w:w="180" w:type="dxa"/>
            </w:tcMar>
          </w:tcPr>
          <w:p w14:paraId="29CD0606" w14:textId="77777777" w:rsidR="006148EC" w:rsidRPr="006148EC" w:rsidRDefault="006148EC" w:rsidP="006148EC">
            <w:pPr>
              <w:pStyle w:val="BodyText"/>
              <w:spacing w:before="0" w:line="276" w:lineRule="auto"/>
              <w:ind w:left="360" w:right="352"/>
              <w:rPr>
                <w:lang w:val="en-IN"/>
              </w:rPr>
            </w:pPr>
            <w:r w:rsidRPr="006148EC">
              <w:rPr>
                <w:lang w:val="en-IN"/>
              </w:rPr>
              <w:t>Suitability Grade</w:t>
            </w:r>
          </w:p>
        </w:tc>
      </w:tr>
      <w:tr w:rsidR="006148EC" w:rsidRPr="006148EC" w14:paraId="22F98D24" w14:textId="77777777" w:rsidTr="00E34B5B">
        <w:trPr>
          <w:jc w:val="center"/>
        </w:trPr>
        <w:tc>
          <w:tcPr>
            <w:tcW w:w="4680" w:type="dxa"/>
            <w:shd w:val="clear" w:color="auto" w:fill="F8FAFD"/>
            <w:tcMar>
              <w:top w:w="120" w:type="dxa"/>
              <w:left w:w="180" w:type="dxa"/>
              <w:bottom w:w="120" w:type="dxa"/>
              <w:right w:w="180" w:type="dxa"/>
            </w:tcMar>
          </w:tcPr>
          <w:p w14:paraId="2107192C" w14:textId="583A0CB4" w:rsidR="006148EC" w:rsidRPr="006148EC" w:rsidRDefault="006148EC" w:rsidP="006148EC">
            <w:pPr>
              <w:pStyle w:val="BodyText"/>
              <w:ind w:left="360" w:right="352"/>
              <w:rPr>
                <w:lang w:val="en-IN"/>
              </w:rPr>
            </w:pPr>
            <w:r w:rsidRPr="006148EC">
              <w:rPr>
                <w:noProof/>
                <w:lang w:val="en-IN"/>
              </w:rPr>
              <w:drawing>
                <wp:inline distT="0" distB="0" distL="0" distR="0" wp14:anchorId="6CDAB2D7" wp14:editId="22D4A853">
                  <wp:extent cx="38100" cy="19050"/>
                  <wp:effectExtent l="0" t="0" r="0" b="0"/>
                  <wp:docPr id="202852343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4680" w:type="dxa"/>
            <w:shd w:val="clear" w:color="auto" w:fill="F8FAFD"/>
            <w:tcMar>
              <w:top w:w="120" w:type="dxa"/>
              <w:left w:w="180" w:type="dxa"/>
              <w:bottom w:w="120" w:type="dxa"/>
              <w:right w:w="180" w:type="dxa"/>
            </w:tcMar>
          </w:tcPr>
          <w:p w14:paraId="285D6BB3" w14:textId="77777777" w:rsidR="006148EC" w:rsidRPr="006148EC" w:rsidRDefault="006148EC" w:rsidP="006148EC">
            <w:pPr>
              <w:pStyle w:val="BodyText"/>
              <w:spacing w:before="0" w:line="276" w:lineRule="auto"/>
              <w:ind w:left="360" w:right="352"/>
              <w:rPr>
                <w:lang w:val="en-IN"/>
              </w:rPr>
            </w:pPr>
            <w:r w:rsidRPr="006148EC">
              <w:rPr>
                <w:lang w:val="en-IN"/>
              </w:rPr>
              <w:t>Highly Suitable (S1)</w:t>
            </w:r>
          </w:p>
        </w:tc>
      </w:tr>
      <w:tr w:rsidR="006148EC" w:rsidRPr="006148EC" w14:paraId="625DBA62" w14:textId="77777777" w:rsidTr="00E34B5B">
        <w:trPr>
          <w:jc w:val="center"/>
        </w:trPr>
        <w:tc>
          <w:tcPr>
            <w:tcW w:w="4680" w:type="dxa"/>
            <w:shd w:val="clear" w:color="auto" w:fill="F8FAFD"/>
            <w:tcMar>
              <w:top w:w="120" w:type="dxa"/>
              <w:left w:w="180" w:type="dxa"/>
              <w:bottom w:w="120" w:type="dxa"/>
              <w:right w:w="180" w:type="dxa"/>
            </w:tcMar>
          </w:tcPr>
          <w:p w14:paraId="5AA8731F" w14:textId="4A5F0D91" w:rsidR="006148EC" w:rsidRPr="006148EC" w:rsidRDefault="006148EC" w:rsidP="006148EC">
            <w:pPr>
              <w:pStyle w:val="BodyText"/>
              <w:ind w:left="360" w:right="352"/>
              <w:rPr>
                <w:lang w:val="en-IN"/>
              </w:rPr>
            </w:pPr>
            <w:r w:rsidRPr="006148EC">
              <w:rPr>
                <w:noProof/>
                <w:lang w:val="en-IN"/>
              </w:rPr>
              <w:drawing>
                <wp:inline distT="0" distB="0" distL="0" distR="0" wp14:anchorId="1D0BC58A" wp14:editId="00E66C48">
                  <wp:extent cx="38100" cy="19050"/>
                  <wp:effectExtent l="0" t="0" r="0" b="0"/>
                  <wp:docPr id="2140373048"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4680" w:type="dxa"/>
            <w:shd w:val="clear" w:color="auto" w:fill="F8FAFD"/>
            <w:tcMar>
              <w:top w:w="120" w:type="dxa"/>
              <w:left w:w="180" w:type="dxa"/>
              <w:bottom w:w="120" w:type="dxa"/>
              <w:right w:w="180" w:type="dxa"/>
            </w:tcMar>
          </w:tcPr>
          <w:p w14:paraId="0B554C53" w14:textId="77777777" w:rsidR="006148EC" w:rsidRPr="006148EC" w:rsidRDefault="006148EC" w:rsidP="006148EC">
            <w:pPr>
              <w:pStyle w:val="BodyText"/>
              <w:spacing w:before="0" w:line="276" w:lineRule="auto"/>
              <w:ind w:left="360" w:right="352"/>
              <w:rPr>
                <w:lang w:val="en-IN"/>
              </w:rPr>
            </w:pPr>
            <w:r w:rsidRPr="006148EC">
              <w:rPr>
                <w:lang w:val="en-IN"/>
              </w:rPr>
              <w:t>Moderately Suitable (S2)</w:t>
            </w:r>
          </w:p>
        </w:tc>
      </w:tr>
      <w:tr w:rsidR="006148EC" w:rsidRPr="006148EC" w14:paraId="168CD38E" w14:textId="77777777" w:rsidTr="00E34B5B">
        <w:trPr>
          <w:jc w:val="center"/>
        </w:trPr>
        <w:tc>
          <w:tcPr>
            <w:tcW w:w="4680" w:type="dxa"/>
            <w:shd w:val="clear" w:color="auto" w:fill="F8FAFD"/>
            <w:tcMar>
              <w:top w:w="120" w:type="dxa"/>
              <w:left w:w="180" w:type="dxa"/>
              <w:bottom w:w="120" w:type="dxa"/>
              <w:right w:w="180" w:type="dxa"/>
            </w:tcMar>
          </w:tcPr>
          <w:p w14:paraId="40C41E37" w14:textId="155498B2" w:rsidR="006148EC" w:rsidRPr="006148EC" w:rsidRDefault="006148EC" w:rsidP="006148EC">
            <w:pPr>
              <w:pStyle w:val="BodyText"/>
              <w:ind w:left="360" w:right="352"/>
              <w:rPr>
                <w:lang w:val="en-IN"/>
              </w:rPr>
            </w:pPr>
            <w:r w:rsidRPr="006148EC">
              <w:rPr>
                <w:noProof/>
                <w:lang w:val="en-IN"/>
              </w:rPr>
              <w:drawing>
                <wp:inline distT="0" distB="0" distL="0" distR="0" wp14:anchorId="67A5F41B" wp14:editId="0F17034D">
                  <wp:extent cx="38100" cy="19050"/>
                  <wp:effectExtent l="0" t="0" r="0" b="0"/>
                  <wp:docPr id="678184554"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4680" w:type="dxa"/>
            <w:shd w:val="clear" w:color="auto" w:fill="F8FAFD"/>
            <w:tcMar>
              <w:top w:w="120" w:type="dxa"/>
              <w:left w:w="180" w:type="dxa"/>
              <w:bottom w:w="120" w:type="dxa"/>
              <w:right w:w="180" w:type="dxa"/>
            </w:tcMar>
          </w:tcPr>
          <w:p w14:paraId="3EC7EAF0" w14:textId="77777777" w:rsidR="006148EC" w:rsidRPr="006148EC" w:rsidRDefault="006148EC" w:rsidP="006148EC">
            <w:pPr>
              <w:pStyle w:val="BodyText"/>
              <w:spacing w:before="0" w:line="276" w:lineRule="auto"/>
              <w:ind w:left="360" w:right="352"/>
              <w:rPr>
                <w:lang w:val="en-IN"/>
              </w:rPr>
            </w:pPr>
            <w:r w:rsidRPr="006148EC">
              <w:rPr>
                <w:lang w:val="en-IN"/>
              </w:rPr>
              <w:t>Marginally Suitable (S3)</w:t>
            </w:r>
          </w:p>
        </w:tc>
      </w:tr>
      <w:tr w:rsidR="006148EC" w:rsidRPr="006148EC" w14:paraId="25A60428" w14:textId="77777777" w:rsidTr="00E34B5B">
        <w:trPr>
          <w:jc w:val="center"/>
        </w:trPr>
        <w:tc>
          <w:tcPr>
            <w:tcW w:w="4680" w:type="dxa"/>
            <w:shd w:val="clear" w:color="auto" w:fill="F8FAFD"/>
            <w:tcMar>
              <w:top w:w="120" w:type="dxa"/>
              <w:left w:w="180" w:type="dxa"/>
              <w:bottom w:w="120" w:type="dxa"/>
              <w:right w:w="180" w:type="dxa"/>
            </w:tcMar>
          </w:tcPr>
          <w:p w14:paraId="339CA450" w14:textId="3864BEE8" w:rsidR="006148EC" w:rsidRPr="006148EC" w:rsidRDefault="006148EC" w:rsidP="006148EC">
            <w:pPr>
              <w:pStyle w:val="BodyText"/>
              <w:ind w:left="360" w:right="352"/>
              <w:rPr>
                <w:lang w:val="en-IN"/>
              </w:rPr>
            </w:pPr>
            <w:r w:rsidRPr="006148EC">
              <w:rPr>
                <w:noProof/>
                <w:lang w:val="en-IN"/>
              </w:rPr>
              <w:drawing>
                <wp:inline distT="0" distB="0" distL="0" distR="0" wp14:anchorId="649299C1" wp14:editId="594D8C95">
                  <wp:extent cx="38100" cy="19050"/>
                  <wp:effectExtent l="0" t="0" r="0" b="0"/>
                  <wp:docPr id="121879669"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4680" w:type="dxa"/>
            <w:shd w:val="clear" w:color="auto" w:fill="F8FAFD"/>
            <w:tcMar>
              <w:top w:w="120" w:type="dxa"/>
              <w:left w:w="180" w:type="dxa"/>
              <w:bottom w:w="120" w:type="dxa"/>
              <w:right w:w="180" w:type="dxa"/>
            </w:tcMar>
          </w:tcPr>
          <w:p w14:paraId="1B584D9B" w14:textId="77777777" w:rsidR="006148EC" w:rsidRPr="006148EC" w:rsidRDefault="006148EC" w:rsidP="006148EC">
            <w:pPr>
              <w:pStyle w:val="BodyText"/>
              <w:spacing w:before="0" w:line="276" w:lineRule="auto"/>
              <w:ind w:left="360" w:right="352"/>
              <w:rPr>
                <w:lang w:val="en-IN"/>
              </w:rPr>
            </w:pPr>
            <w:r w:rsidRPr="006148EC">
              <w:rPr>
                <w:lang w:val="en-IN"/>
              </w:rPr>
              <w:t>Unsuitable (S4)</w:t>
            </w:r>
          </w:p>
        </w:tc>
      </w:tr>
    </w:tbl>
    <w:p w14:paraId="6CFA4BFE" w14:textId="77777777" w:rsidR="006148EC" w:rsidRPr="006148EC" w:rsidRDefault="006148EC" w:rsidP="006148EC">
      <w:pPr>
        <w:pStyle w:val="BodyText"/>
        <w:spacing w:before="0" w:line="276" w:lineRule="auto"/>
        <w:ind w:left="360" w:right="352"/>
        <w:rPr>
          <w:lang w:val="en-IN"/>
        </w:rPr>
      </w:pPr>
    </w:p>
    <w:p w14:paraId="588D4050" w14:textId="60A19CF4" w:rsidR="006148EC" w:rsidRPr="006148EC" w:rsidRDefault="006148EC" w:rsidP="006148EC">
      <w:pPr>
        <w:pStyle w:val="BodyText"/>
        <w:spacing w:line="276" w:lineRule="auto"/>
        <w:ind w:left="360" w:right="352"/>
        <w:rPr>
          <w:b/>
          <w:lang w:val="en-IN"/>
        </w:rPr>
      </w:pPr>
      <w:r w:rsidRPr="006148EC">
        <w:rPr>
          <w:b/>
          <w:lang w:val="en-IN"/>
        </w:rPr>
        <w:t>Spatial Analysis and Obstacle Factor Diagnosis</w:t>
      </w:r>
    </w:p>
    <w:p w14:paraId="32096EA0" w14:textId="330F1BE0" w:rsidR="006148EC" w:rsidRPr="006148EC" w:rsidRDefault="006148EC" w:rsidP="006148EC">
      <w:pPr>
        <w:pStyle w:val="BodyText"/>
        <w:spacing w:line="276" w:lineRule="auto"/>
        <w:ind w:left="360" w:right="352"/>
        <w:rPr>
          <w:b/>
          <w:lang w:val="en-IN"/>
        </w:rPr>
      </w:pPr>
      <w:r w:rsidRPr="006148EC">
        <w:rPr>
          <w:b/>
          <w:lang w:val="en-IN"/>
        </w:rPr>
        <w:t>Spatial Autocorrelation (LISA)</w:t>
      </w:r>
    </w:p>
    <w:p w14:paraId="2EE5C41F" w14:textId="77777777" w:rsidR="006148EC" w:rsidRPr="006148EC" w:rsidRDefault="006148EC" w:rsidP="006148EC">
      <w:pPr>
        <w:pStyle w:val="BodyText"/>
        <w:spacing w:line="276" w:lineRule="auto"/>
        <w:ind w:left="360" w:right="352"/>
        <w:rPr>
          <w:lang w:val="en-IN"/>
        </w:rPr>
      </w:pPr>
      <w:r w:rsidRPr="006148EC">
        <w:rPr>
          <w:lang w:val="en-IN"/>
        </w:rPr>
        <w:t xml:space="preserve">To understand if suitability levels cluster geographically, we performed </w:t>
      </w:r>
      <w:r w:rsidRPr="006148EC">
        <w:rPr>
          <w:b/>
          <w:lang w:val="en-IN"/>
        </w:rPr>
        <w:t>Local Indicators of Spatial Association (LISA)</w:t>
      </w:r>
      <w:r w:rsidRPr="006148EC">
        <w:rPr>
          <w:lang w:val="en-IN"/>
        </w:rPr>
        <w:t xml:space="preserve"> analysis [2]. LISA identifies significant local spatial patterns (clusters) of the RSI, specifically differentiating between </w:t>
      </w:r>
      <w:r w:rsidRPr="006148EC">
        <w:rPr>
          <w:b/>
          <w:lang w:val="en-IN"/>
        </w:rPr>
        <w:t>High-High</w:t>
      </w:r>
      <w:r w:rsidRPr="006148EC">
        <w:rPr>
          <w:lang w:val="en-IN"/>
        </w:rPr>
        <w:t xml:space="preserve"> clusters (high suitability sites surrounded by high suitability sites) and </w:t>
      </w:r>
      <w:r w:rsidRPr="006148EC">
        <w:rPr>
          <w:b/>
          <w:lang w:val="en-IN"/>
        </w:rPr>
        <w:t>Low-Low</w:t>
      </w:r>
      <w:r w:rsidRPr="006148EC">
        <w:rPr>
          <w:lang w:val="en-IN"/>
        </w:rPr>
        <w:t xml:space="preserve"> clusters (low suitability sites surrounded by low suitability sites) [60]. This provides essential insight for regional planning and resource allocation.</w:t>
      </w:r>
    </w:p>
    <w:p w14:paraId="3FA1A47D" w14:textId="77777777" w:rsidR="006148EC" w:rsidRPr="006148EC" w:rsidRDefault="006148EC" w:rsidP="006148EC">
      <w:pPr>
        <w:pStyle w:val="BodyText"/>
        <w:spacing w:line="276" w:lineRule="auto"/>
        <w:ind w:left="360" w:right="352"/>
        <w:rPr>
          <w:lang w:val="en-IN"/>
        </w:rPr>
      </w:pPr>
    </w:p>
    <w:p w14:paraId="4FC7B59C" w14:textId="40D8CA93" w:rsidR="006148EC" w:rsidRPr="006148EC" w:rsidRDefault="006148EC" w:rsidP="006148EC">
      <w:pPr>
        <w:pStyle w:val="BodyText"/>
        <w:spacing w:line="276" w:lineRule="auto"/>
        <w:ind w:left="360" w:right="352"/>
        <w:rPr>
          <w:b/>
          <w:lang w:val="en-IN"/>
        </w:rPr>
      </w:pPr>
      <w:r w:rsidRPr="006148EC">
        <w:rPr>
          <w:b/>
          <w:lang w:val="en-IN"/>
        </w:rPr>
        <w:t>Obstacle Factor Model</w:t>
      </w:r>
    </w:p>
    <w:p w14:paraId="3B8EF392" w14:textId="668E3ACE" w:rsidR="006148EC" w:rsidRPr="006148EC" w:rsidRDefault="006148EC" w:rsidP="006148EC">
      <w:pPr>
        <w:pStyle w:val="BodyText"/>
        <w:spacing w:line="276" w:lineRule="auto"/>
        <w:ind w:left="360" w:right="352"/>
        <w:rPr>
          <w:lang w:val="en-IN"/>
        </w:rPr>
      </w:pPr>
      <w:r w:rsidRPr="006148EC">
        <w:rPr>
          <w:lang w:val="en-IN"/>
        </w:rPr>
        <w:lastRenderedPageBreak/>
        <w:t xml:space="preserve">To move beyond a simple score and identify actionable policy levers, we employed the </w:t>
      </w:r>
      <w:r w:rsidRPr="006148EC">
        <w:rPr>
          <w:b/>
          <w:lang w:val="en-IN"/>
        </w:rPr>
        <w:t>Obstacle Factor Model</w:t>
      </w:r>
      <w:r w:rsidRPr="006148EC">
        <w:rPr>
          <w:lang w:val="en-IN"/>
        </w:rPr>
        <w:t xml:space="preserve"> [56]. For each resettlement site, the obstacle degree (</w:t>
      </w:r>
      <w:r w:rsidRPr="006148EC">
        <w:rPr>
          <w:noProof/>
          <w:lang w:val="en-IN"/>
        </w:rPr>
        <w:drawing>
          <wp:inline distT="0" distB="0" distL="0" distR="0" wp14:anchorId="67217B2B" wp14:editId="607DE881">
            <wp:extent cx="38100" cy="19050"/>
            <wp:effectExtent l="0" t="0" r="0" b="0"/>
            <wp:docPr id="149563264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of the </w:t>
      </w:r>
      <w:r w:rsidRPr="006148EC">
        <w:rPr>
          <w:noProof/>
          <w:lang w:val="en-IN"/>
        </w:rPr>
        <w:drawing>
          <wp:inline distT="0" distB="0" distL="0" distR="0" wp14:anchorId="0A7F1CB5" wp14:editId="24F83109">
            <wp:extent cx="38100" cy="19050"/>
            <wp:effectExtent l="0" t="0" r="0" b="0"/>
            <wp:docPr id="337951634"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w:t>
      </w:r>
      <w:proofErr w:type="spellStart"/>
      <w:r w:rsidRPr="006148EC">
        <w:rPr>
          <w:lang w:val="en-IN"/>
        </w:rPr>
        <w:t>th</w:t>
      </w:r>
      <w:proofErr w:type="spellEnd"/>
      <w:r w:rsidRPr="006148EC">
        <w:rPr>
          <w:lang w:val="en-IN"/>
        </w:rPr>
        <w:t xml:space="preserve"> indicator was calculated as follows:</w:t>
      </w:r>
    </w:p>
    <w:p w14:paraId="355CE552" w14:textId="2EBDAD09" w:rsidR="006148EC" w:rsidRPr="006148EC" w:rsidRDefault="006148EC" w:rsidP="00E34B5B">
      <w:pPr>
        <w:pStyle w:val="BodyText"/>
        <w:spacing w:line="276" w:lineRule="auto"/>
        <w:ind w:left="360" w:right="352"/>
        <w:rPr>
          <w:lang w:val="en-IN"/>
        </w:rPr>
      </w:pPr>
      <w:r w:rsidRPr="006148EC">
        <w:rPr>
          <w:noProof/>
          <w:lang w:val="en-IN"/>
        </w:rPr>
        <w:drawing>
          <wp:inline distT="0" distB="0" distL="0" distR="0" wp14:anchorId="497CF770" wp14:editId="35B2BC8D">
            <wp:extent cx="38100" cy="19050"/>
            <wp:effectExtent l="0" t="0" r="0" b="0"/>
            <wp:docPr id="1962097572"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Where </w:t>
      </w:r>
      <w:r w:rsidRPr="006148EC">
        <w:rPr>
          <w:noProof/>
          <w:lang w:val="en-IN"/>
        </w:rPr>
        <w:drawing>
          <wp:inline distT="0" distB="0" distL="0" distR="0" wp14:anchorId="5A2D598E" wp14:editId="101FF97C">
            <wp:extent cx="38100" cy="19050"/>
            <wp:effectExtent l="0" t="0" r="0" b="0"/>
            <wp:docPr id="2106155505"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represents the gap (or deviation) between the actual indicator score and the ideal score (100), and </w:t>
      </w:r>
      <w:r w:rsidRPr="006148EC">
        <w:rPr>
          <w:noProof/>
          <w:lang w:val="en-IN"/>
        </w:rPr>
        <w:drawing>
          <wp:inline distT="0" distB="0" distL="0" distR="0" wp14:anchorId="18D17C92" wp14:editId="387C3592">
            <wp:extent cx="38100" cy="19050"/>
            <wp:effectExtent l="0" t="0" r="0" b="0"/>
            <wp:docPr id="161612015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is the weight of that indicator. The total Obstacle Degree for a site (</w:t>
      </w:r>
      <w:r w:rsidRPr="006148EC">
        <w:rPr>
          <w:noProof/>
          <w:lang w:val="en-IN"/>
        </w:rPr>
        <w:drawing>
          <wp:inline distT="0" distB="0" distL="0" distR="0" wp14:anchorId="37A4BAAA" wp14:editId="7E91BFE8">
            <wp:extent cx="38100" cy="19050"/>
            <wp:effectExtent l="0" t="0" r="0" b="0"/>
            <wp:docPr id="1812014908"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is the sum of all individual obstacle degrees. The indicators with the highest </w:t>
      </w:r>
      <w:r w:rsidRPr="006148EC">
        <w:rPr>
          <w:noProof/>
          <w:lang w:val="en-IN"/>
        </w:rPr>
        <w:drawing>
          <wp:inline distT="0" distB="0" distL="0" distR="0" wp14:anchorId="4599EC7D" wp14:editId="50483E7A">
            <wp:extent cx="38100" cy="19050"/>
            <wp:effectExtent l="0" t="0" r="0" b="0"/>
            <wp:docPr id="61503876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values across the study area are the most critical limiting factors for overall suitability.</w:t>
      </w:r>
    </w:p>
    <w:p w14:paraId="2B67B717" w14:textId="57E0529A" w:rsidR="006148EC" w:rsidRPr="006148EC" w:rsidRDefault="006148EC" w:rsidP="006148EC">
      <w:pPr>
        <w:pStyle w:val="BodyText"/>
        <w:spacing w:line="276" w:lineRule="auto"/>
        <w:ind w:left="360" w:right="352"/>
        <w:rPr>
          <w:b/>
          <w:lang w:val="en-IN"/>
        </w:rPr>
      </w:pPr>
      <w:r w:rsidRPr="006148EC">
        <w:rPr>
          <w:b/>
          <w:lang w:val="en-IN"/>
        </w:rPr>
        <w:t>3. Results</w:t>
      </w:r>
    </w:p>
    <w:p w14:paraId="0AEB90AE" w14:textId="1632EA24" w:rsidR="006148EC" w:rsidRPr="006148EC" w:rsidRDefault="006148EC" w:rsidP="006148EC">
      <w:pPr>
        <w:pStyle w:val="BodyText"/>
        <w:spacing w:line="276" w:lineRule="auto"/>
        <w:ind w:left="360" w:right="352"/>
        <w:rPr>
          <w:b/>
          <w:lang w:val="en-IN"/>
        </w:rPr>
      </w:pPr>
      <w:r w:rsidRPr="006148EC">
        <w:rPr>
          <w:b/>
          <w:lang w:val="en-IN"/>
        </w:rPr>
        <w:t>Weights of Suitability Criteria</w:t>
      </w:r>
    </w:p>
    <w:p w14:paraId="0A1A0E73" w14:textId="5D532BAA" w:rsidR="006148EC" w:rsidRPr="006148EC" w:rsidRDefault="006148EC" w:rsidP="006148EC">
      <w:pPr>
        <w:pStyle w:val="BodyText"/>
        <w:spacing w:line="276" w:lineRule="auto"/>
        <w:ind w:left="360" w:right="352"/>
        <w:rPr>
          <w:lang w:val="en-IN"/>
        </w:rPr>
      </w:pPr>
      <w:r w:rsidRPr="006148EC">
        <w:rPr>
          <w:lang w:val="en-IN"/>
        </w:rPr>
        <w:t xml:space="preserve">The AHP results confirmed the conceptual hierarchy, reflecting the challenges inherent in Gansu’s environment. The top three weighted criteria were: </w:t>
      </w:r>
      <w:r w:rsidRPr="006148EC">
        <w:rPr>
          <w:b/>
          <w:lang w:val="en-IN"/>
        </w:rPr>
        <w:t>Natural-Ecological Suitability</w:t>
      </w:r>
      <w:r w:rsidRPr="006148EC">
        <w:rPr>
          <w:lang w:val="en-IN"/>
        </w:rPr>
        <w:t xml:space="preserve"> (</w:t>
      </w:r>
      <w:r w:rsidRPr="006148EC">
        <w:rPr>
          <w:noProof/>
          <w:lang w:val="en-IN"/>
        </w:rPr>
        <w:drawing>
          <wp:inline distT="0" distB="0" distL="0" distR="0" wp14:anchorId="3D12645B" wp14:editId="07C5F4AD">
            <wp:extent cx="38100" cy="19050"/>
            <wp:effectExtent l="0" t="0" r="0" b="0"/>
            <wp:docPr id="1478404591"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w:t>
      </w:r>
      <w:r w:rsidRPr="006148EC">
        <w:rPr>
          <w:b/>
          <w:lang w:val="en-IN"/>
        </w:rPr>
        <w:t>Socio-Economic Suitability</w:t>
      </w:r>
      <w:r w:rsidRPr="006148EC">
        <w:rPr>
          <w:lang w:val="en-IN"/>
        </w:rPr>
        <w:t xml:space="preserve"> (</w:t>
      </w:r>
      <w:r w:rsidRPr="006148EC">
        <w:rPr>
          <w:noProof/>
          <w:lang w:val="en-IN"/>
        </w:rPr>
        <w:drawing>
          <wp:inline distT="0" distB="0" distL="0" distR="0" wp14:anchorId="05A0D4F3" wp14:editId="3F99BBC9">
            <wp:extent cx="38100" cy="19050"/>
            <wp:effectExtent l="0" t="0" r="0" b="0"/>
            <wp:docPr id="216228890"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and </w:t>
      </w:r>
      <w:r w:rsidRPr="006148EC">
        <w:rPr>
          <w:b/>
          <w:lang w:val="en-IN"/>
        </w:rPr>
        <w:t>Location-Accessibility Suitability</w:t>
      </w:r>
      <w:r w:rsidRPr="006148EC">
        <w:rPr>
          <w:lang w:val="en-IN"/>
        </w:rPr>
        <w:t xml:space="preserve"> (</w:t>
      </w:r>
      <w:r w:rsidRPr="006148EC">
        <w:rPr>
          <w:noProof/>
          <w:lang w:val="en-IN"/>
        </w:rPr>
        <w:drawing>
          <wp:inline distT="0" distB="0" distL="0" distR="0" wp14:anchorId="0616123F" wp14:editId="1B73ABFD">
            <wp:extent cx="38100" cy="19050"/>
            <wp:effectExtent l="0" t="0" r="0" b="0"/>
            <wp:docPr id="2015724076"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w:t>
      </w:r>
    </w:p>
    <w:p w14:paraId="24A8FDD6" w14:textId="77777777" w:rsidR="006148EC" w:rsidRPr="006148EC" w:rsidRDefault="006148EC" w:rsidP="006148EC">
      <w:pPr>
        <w:pStyle w:val="BodyText"/>
        <w:spacing w:line="276" w:lineRule="auto"/>
        <w:ind w:left="360" w:right="352"/>
        <w:rPr>
          <w:lang w:val="en-IN"/>
        </w:rPr>
      </w:pPr>
      <w:r w:rsidRPr="006148EC">
        <w:rPr>
          <w:lang w:val="en-IN"/>
        </w:rPr>
        <w:t>Within the sub-indicators, the top four weighted factors underscore the regional focus:</w:t>
      </w:r>
    </w:p>
    <w:p w14:paraId="021ECD18" w14:textId="7B1BC0C6" w:rsidR="006148EC" w:rsidRPr="006148EC" w:rsidRDefault="006148EC" w:rsidP="00314657">
      <w:pPr>
        <w:pStyle w:val="BodyText"/>
        <w:numPr>
          <w:ilvl w:val="0"/>
          <w:numId w:val="8"/>
        </w:numPr>
        <w:spacing w:line="276" w:lineRule="auto"/>
        <w:ind w:left="720" w:right="352"/>
        <w:rPr>
          <w:lang w:val="en-IN"/>
        </w:rPr>
      </w:pPr>
      <w:r w:rsidRPr="006148EC">
        <w:rPr>
          <w:b/>
          <w:lang w:val="en-IN"/>
        </w:rPr>
        <w:t>Water Resource Carrying Capacity (C1):</w:t>
      </w:r>
      <w:r w:rsidRPr="006148EC">
        <w:rPr>
          <w:lang w:val="en-IN"/>
        </w:rPr>
        <w:t xml:space="preserve"> </w:t>
      </w:r>
      <w:r w:rsidRPr="006148EC">
        <w:rPr>
          <w:noProof/>
          <w:lang w:val="en-IN"/>
        </w:rPr>
        <w:drawing>
          <wp:inline distT="0" distB="0" distL="0" distR="0" wp14:anchorId="17C6B58F" wp14:editId="708E3AD3">
            <wp:extent cx="38100" cy="19050"/>
            <wp:effectExtent l="0" t="0" r="0" b="0"/>
            <wp:docPr id="171664381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72AEB6BB" w14:textId="5A62B1E6" w:rsidR="006148EC" w:rsidRPr="006148EC" w:rsidRDefault="006148EC" w:rsidP="00314657">
      <w:pPr>
        <w:pStyle w:val="BodyText"/>
        <w:numPr>
          <w:ilvl w:val="0"/>
          <w:numId w:val="8"/>
        </w:numPr>
        <w:spacing w:line="276" w:lineRule="auto"/>
        <w:ind w:left="720" w:right="352"/>
        <w:rPr>
          <w:lang w:val="en-IN"/>
        </w:rPr>
      </w:pP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w:t>
      </w:r>
      <w:r w:rsidRPr="006148EC">
        <w:rPr>
          <w:noProof/>
          <w:lang w:val="en-IN"/>
        </w:rPr>
        <w:drawing>
          <wp:inline distT="0" distB="0" distL="0" distR="0" wp14:anchorId="3D2FEB0B" wp14:editId="561EA434">
            <wp:extent cx="38100" cy="19050"/>
            <wp:effectExtent l="0" t="0" r="0" b="0"/>
            <wp:docPr id="20229967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33A519CD" w14:textId="3D9B20AE" w:rsidR="006148EC" w:rsidRPr="006148EC" w:rsidRDefault="006148EC" w:rsidP="00314657">
      <w:pPr>
        <w:pStyle w:val="BodyText"/>
        <w:numPr>
          <w:ilvl w:val="0"/>
          <w:numId w:val="8"/>
        </w:numPr>
        <w:spacing w:line="276" w:lineRule="auto"/>
        <w:ind w:left="720" w:right="352"/>
        <w:rPr>
          <w:lang w:val="en-IN"/>
        </w:rPr>
      </w:pPr>
      <w:r w:rsidRPr="006148EC">
        <w:rPr>
          <w:b/>
          <w:lang w:val="en-IN"/>
        </w:rPr>
        <w:t>Landslide/Geological Hazard Risk (C2):</w:t>
      </w:r>
      <w:r w:rsidRPr="006148EC">
        <w:rPr>
          <w:lang w:val="en-IN"/>
        </w:rPr>
        <w:t xml:space="preserve"> </w:t>
      </w:r>
      <w:r w:rsidRPr="006148EC">
        <w:rPr>
          <w:noProof/>
          <w:lang w:val="en-IN"/>
        </w:rPr>
        <w:drawing>
          <wp:inline distT="0" distB="0" distL="0" distR="0" wp14:anchorId="7258D265" wp14:editId="71940206">
            <wp:extent cx="38100" cy="19050"/>
            <wp:effectExtent l="0" t="0" r="0" b="0"/>
            <wp:docPr id="170300571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5FDB8D3C" w14:textId="14DA706D" w:rsidR="006148EC" w:rsidRPr="006148EC" w:rsidRDefault="006148EC" w:rsidP="00314657">
      <w:pPr>
        <w:pStyle w:val="BodyText"/>
        <w:numPr>
          <w:ilvl w:val="0"/>
          <w:numId w:val="8"/>
        </w:numPr>
        <w:spacing w:line="276" w:lineRule="auto"/>
        <w:ind w:left="720" w:right="352"/>
        <w:rPr>
          <w:lang w:val="en-IN"/>
        </w:rPr>
      </w:pPr>
      <w:r w:rsidRPr="006148EC">
        <w:rPr>
          <w:b/>
          <w:lang w:val="en-IN"/>
        </w:rPr>
        <w:t>Local Economic Diversity Index (C6):</w:t>
      </w:r>
      <w:r w:rsidRPr="006148EC">
        <w:rPr>
          <w:lang w:val="en-IN"/>
        </w:rPr>
        <w:t xml:space="preserve"> </w:t>
      </w:r>
      <w:r w:rsidRPr="006148EC">
        <w:rPr>
          <w:noProof/>
          <w:lang w:val="en-IN"/>
        </w:rPr>
        <w:drawing>
          <wp:inline distT="0" distB="0" distL="0" distR="0" wp14:anchorId="548C5EE2" wp14:editId="59717B4C">
            <wp:extent cx="38100" cy="19050"/>
            <wp:effectExtent l="0" t="0" r="0" b="0"/>
            <wp:docPr id="2096184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40C908BC" w14:textId="2D4A6A49" w:rsidR="006148EC" w:rsidRPr="006148EC" w:rsidRDefault="006148EC" w:rsidP="00314657">
      <w:pPr>
        <w:pStyle w:val="BodyText"/>
        <w:spacing w:before="0" w:line="276" w:lineRule="auto"/>
        <w:ind w:left="600" w:right="352"/>
        <w:rPr>
          <w:lang w:val="en-IN"/>
        </w:rPr>
      </w:pPr>
      <w:r w:rsidRPr="006148EC">
        <w:rPr>
          <w:lang w:val="en-IN"/>
        </w:rPr>
        <w:t xml:space="preserve">These weights emphasize that while safety (C2) and water (C1) are primary concerns in arid mountains, the economic integration (C5, C6) of the resettled population </w:t>
      </w:r>
      <w:r w:rsidRPr="006148EC">
        <w:rPr>
          <w:b/>
          <w:lang w:val="en-IN"/>
        </w:rPr>
        <w:t>is associated with</w:t>
      </w:r>
      <w:r w:rsidRPr="006148EC">
        <w:rPr>
          <w:lang w:val="en-IN"/>
        </w:rPr>
        <w:t xml:space="preserve"> nearly as high a weighting, highlighting the policy’s implicit focus on long-term sustainability.</w:t>
      </w:r>
    </w:p>
    <w:p w14:paraId="52545299" w14:textId="1ADC45FE" w:rsidR="006148EC" w:rsidRPr="006148EC" w:rsidRDefault="006148EC" w:rsidP="00314657">
      <w:pPr>
        <w:pStyle w:val="BodyText"/>
        <w:spacing w:line="276" w:lineRule="auto"/>
        <w:ind w:left="360" w:right="352"/>
        <w:rPr>
          <w:b/>
          <w:lang w:val="en-IN"/>
        </w:rPr>
      </w:pPr>
      <w:r w:rsidRPr="006148EC">
        <w:rPr>
          <w:b/>
          <w:lang w:val="en-IN"/>
        </w:rPr>
        <w:t>Spatial Distribution and Quantification of Resettlement Suitability</w:t>
      </w:r>
    </w:p>
    <w:p w14:paraId="07F1A6B4" w14:textId="27048D84" w:rsidR="006148EC" w:rsidRPr="006148EC" w:rsidRDefault="006148EC" w:rsidP="006148EC">
      <w:pPr>
        <w:pStyle w:val="BodyText"/>
        <w:spacing w:line="276" w:lineRule="auto"/>
        <w:ind w:left="360" w:right="352"/>
        <w:rPr>
          <w:lang w:val="en-IN"/>
        </w:rPr>
      </w:pPr>
      <w:r w:rsidRPr="006148EC">
        <w:rPr>
          <w:lang w:val="en-IN"/>
        </w:rPr>
        <w:t xml:space="preserve">The application of the WLC model yielded </w:t>
      </w:r>
      <w:r w:rsidRPr="006148EC">
        <w:rPr>
          <w:noProof/>
          <w:lang w:val="en-IN"/>
        </w:rPr>
        <w:drawing>
          <wp:inline distT="0" distB="0" distL="0" distR="0" wp14:anchorId="2820D70D" wp14:editId="74902893">
            <wp:extent cx="38100" cy="19050"/>
            <wp:effectExtent l="0" t="0" r="0" b="0"/>
            <wp:docPr id="757499478"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scores across the </w:t>
      </w:r>
      <w:r w:rsidRPr="006148EC">
        <w:rPr>
          <w:noProof/>
          <w:lang w:val="en-IN"/>
        </w:rPr>
        <w:drawing>
          <wp:inline distT="0" distB="0" distL="0" distR="0" wp14:anchorId="0EE6C420" wp14:editId="40360CA7">
            <wp:extent cx="38100" cy="19050"/>
            <wp:effectExtent l="0" t="0" r="0" b="0"/>
            <wp:docPr id="140055574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resettlement sites, revealing a generally cautious level of suitability.</w:t>
      </w:r>
    </w:p>
    <w:p w14:paraId="386F4467" w14:textId="77777777" w:rsidR="00314657" w:rsidRDefault="00314657" w:rsidP="006148EC">
      <w:pPr>
        <w:pStyle w:val="BodyText"/>
        <w:spacing w:line="276" w:lineRule="auto"/>
        <w:ind w:left="360" w:right="352"/>
        <w:rPr>
          <w:b/>
          <w:lang w:val="en-IN"/>
        </w:rPr>
      </w:pPr>
    </w:p>
    <w:p w14:paraId="57002771" w14:textId="77777777" w:rsidR="00314657" w:rsidRDefault="00314657" w:rsidP="006148EC">
      <w:pPr>
        <w:pStyle w:val="BodyText"/>
        <w:spacing w:line="276" w:lineRule="auto"/>
        <w:ind w:left="360" w:right="352"/>
        <w:rPr>
          <w:b/>
          <w:lang w:val="en-IN"/>
        </w:rPr>
      </w:pPr>
    </w:p>
    <w:p w14:paraId="67497019" w14:textId="77777777" w:rsidR="00314657" w:rsidRDefault="00314657" w:rsidP="006148EC">
      <w:pPr>
        <w:pStyle w:val="BodyText"/>
        <w:spacing w:line="276" w:lineRule="auto"/>
        <w:ind w:left="360" w:right="352"/>
        <w:rPr>
          <w:b/>
          <w:lang w:val="en-IN"/>
        </w:rPr>
      </w:pPr>
    </w:p>
    <w:p w14:paraId="0700D540" w14:textId="77777777" w:rsidR="00E34B5B" w:rsidRDefault="00E34B5B" w:rsidP="00314657">
      <w:pPr>
        <w:pStyle w:val="BodyText"/>
        <w:spacing w:after="240" w:line="276" w:lineRule="auto"/>
        <w:ind w:left="360" w:right="352"/>
        <w:jc w:val="center"/>
        <w:rPr>
          <w:b/>
          <w:lang w:val="en-IN"/>
        </w:rPr>
      </w:pPr>
    </w:p>
    <w:p w14:paraId="720349E5" w14:textId="77777777" w:rsidR="00E34B5B" w:rsidRDefault="00E34B5B" w:rsidP="00314657">
      <w:pPr>
        <w:pStyle w:val="BodyText"/>
        <w:spacing w:after="240" w:line="276" w:lineRule="auto"/>
        <w:ind w:left="360" w:right="352"/>
        <w:jc w:val="center"/>
        <w:rPr>
          <w:b/>
          <w:lang w:val="en-IN"/>
        </w:rPr>
      </w:pPr>
    </w:p>
    <w:p w14:paraId="5C95092D" w14:textId="2733319E" w:rsidR="006148EC" w:rsidRPr="006148EC" w:rsidRDefault="006148EC" w:rsidP="00314657">
      <w:pPr>
        <w:pStyle w:val="BodyText"/>
        <w:spacing w:after="240" w:line="276" w:lineRule="auto"/>
        <w:ind w:left="360" w:right="352"/>
        <w:jc w:val="center"/>
        <w:rPr>
          <w:b/>
          <w:lang w:val="en-IN"/>
        </w:rPr>
      </w:pPr>
      <w:r w:rsidRPr="006148EC">
        <w:rPr>
          <w:b/>
          <w:lang w:val="en-IN"/>
        </w:rPr>
        <w:t>Table 1: Distribution of Resettlement Suitability Grades</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340"/>
        <w:gridCol w:w="2340"/>
        <w:gridCol w:w="2340"/>
        <w:gridCol w:w="2340"/>
      </w:tblGrid>
      <w:tr w:rsidR="006148EC" w:rsidRPr="006148EC" w14:paraId="60B327A8" w14:textId="77777777" w:rsidTr="00314657">
        <w:trPr>
          <w:jc w:val="center"/>
        </w:trPr>
        <w:tc>
          <w:tcPr>
            <w:tcW w:w="2340" w:type="dxa"/>
            <w:shd w:val="clear" w:color="auto" w:fill="F8FAFD"/>
            <w:tcMar>
              <w:top w:w="120" w:type="dxa"/>
              <w:left w:w="180" w:type="dxa"/>
              <w:bottom w:w="120" w:type="dxa"/>
              <w:right w:w="180" w:type="dxa"/>
            </w:tcMar>
          </w:tcPr>
          <w:p w14:paraId="5C8DEF9E" w14:textId="77777777" w:rsidR="006148EC" w:rsidRPr="006148EC" w:rsidRDefault="006148EC" w:rsidP="006148EC">
            <w:pPr>
              <w:pStyle w:val="BodyText"/>
              <w:spacing w:before="0" w:line="276" w:lineRule="auto"/>
              <w:ind w:left="360" w:right="352"/>
              <w:rPr>
                <w:lang w:val="en-IN"/>
              </w:rPr>
            </w:pPr>
            <w:r w:rsidRPr="006148EC">
              <w:rPr>
                <w:lang w:val="en-IN"/>
              </w:rPr>
              <w:t>Suitability Grade</w:t>
            </w:r>
          </w:p>
        </w:tc>
        <w:tc>
          <w:tcPr>
            <w:tcW w:w="2340" w:type="dxa"/>
            <w:shd w:val="clear" w:color="auto" w:fill="F8FAFD"/>
            <w:tcMar>
              <w:top w:w="120" w:type="dxa"/>
              <w:left w:w="180" w:type="dxa"/>
              <w:bottom w:w="120" w:type="dxa"/>
              <w:right w:w="180" w:type="dxa"/>
            </w:tcMar>
          </w:tcPr>
          <w:p w14:paraId="4C2E6C4B" w14:textId="77777777" w:rsidR="006148EC" w:rsidRPr="006148EC" w:rsidRDefault="006148EC" w:rsidP="006148EC">
            <w:pPr>
              <w:pStyle w:val="BodyText"/>
              <w:spacing w:before="0" w:line="276" w:lineRule="auto"/>
              <w:ind w:left="360" w:right="352"/>
              <w:rPr>
                <w:lang w:val="en-IN"/>
              </w:rPr>
            </w:pPr>
            <w:r w:rsidRPr="006148EC">
              <w:rPr>
                <w:lang w:val="en-IN"/>
              </w:rPr>
              <w:t>RSI Range</w:t>
            </w:r>
          </w:p>
        </w:tc>
        <w:tc>
          <w:tcPr>
            <w:tcW w:w="2340" w:type="dxa"/>
            <w:shd w:val="clear" w:color="auto" w:fill="F8FAFD"/>
            <w:tcMar>
              <w:top w:w="120" w:type="dxa"/>
              <w:left w:w="180" w:type="dxa"/>
              <w:bottom w:w="120" w:type="dxa"/>
              <w:right w:w="180" w:type="dxa"/>
            </w:tcMar>
          </w:tcPr>
          <w:p w14:paraId="2BFD68AA" w14:textId="77777777" w:rsidR="006148EC" w:rsidRPr="006148EC" w:rsidRDefault="006148EC" w:rsidP="006148EC">
            <w:pPr>
              <w:pStyle w:val="BodyText"/>
              <w:spacing w:before="0" w:line="276" w:lineRule="auto"/>
              <w:ind w:left="360" w:right="352"/>
              <w:rPr>
                <w:lang w:val="en-IN"/>
              </w:rPr>
            </w:pPr>
            <w:r w:rsidRPr="006148EC">
              <w:rPr>
                <w:lang w:val="en-IN"/>
              </w:rPr>
              <w:t>Number of Sites (N)</w:t>
            </w:r>
          </w:p>
        </w:tc>
        <w:tc>
          <w:tcPr>
            <w:tcW w:w="2340" w:type="dxa"/>
            <w:shd w:val="clear" w:color="auto" w:fill="F8FAFD"/>
            <w:tcMar>
              <w:top w:w="120" w:type="dxa"/>
              <w:left w:w="180" w:type="dxa"/>
              <w:bottom w:w="120" w:type="dxa"/>
              <w:right w:w="180" w:type="dxa"/>
            </w:tcMar>
          </w:tcPr>
          <w:p w14:paraId="33A51F6B" w14:textId="77777777" w:rsidR="006148EC" w:rsidRPr="006148EC" w:rsidRDefault="006148EC" w:rsidP="006148EC">
            <w:pPr>
              <w:pStyle w:val="BodyText"/>
              <w:spacing w:before="0" w:line="276" w:lineRule="auto"/>
              <w:ind w:left="360" w:right="352"/>
              <w:rPr>
                <w:lang w:val="en-IN"/>
              </w:rPr>
            </w:pPr>
            <w:r w:rsidRPr="006148EC">
              <w:rPr>
                <w:lang w:val="en-IN"/>
              </w:rPr>
              <w:t>Percentage of Sites (%)</w:t>
            </w:r>
          </w:p>
        </w:tc>
      </w:tr>
      <w:tr w:rsidR="006148EC" w:rsidRPr="006148EC" w14:paraId="24FE5211" w14:textId="77777777" w:rsidTr="00314657">
        <w:trPr>
          <w:jc w:val="center"/>
        </w:trPr>
        <w:tc>
          <w:tcPr>
            <w:tcW w:w="2340" w:type="dxa"/>
            <w:shd w:val="clear" w:color="auto" w:fill="F8FAFD"/>
            <w:tcMar>
              <w:top w:w="120" w:type="dxa"/>
              <w:left w:w="180" w:type="dxa"/>
              <w:bottom w:w="120" w:type="dxa"/>
              <w:right w:w="180" w:type="dxa"/>
            </w:tcMar>
          </w:tcPr>
          <w:p w14:paraId="5405456D" w14:textId="77777777" w:rsidR="006148EC" w:rsidRPr="006148EC" w:rsidRDefault="006148EC" w:rsidP="006148EC">
            <w:pPr>
              <w:pStyle w:val="BodyText"/>
              <w:spacing w:before="0" w:line="276" w:lineRule="auto"/>
              <w:ind w:left="360" w:right="352"/>
              <w:rPr>
                <w:lang w:val="en-IN"/>
              </w:rPr>
            </w:pPr>
            <w:r w:rsidRPr="006148EC">
              <w:rPr>
                <w:lang w:val="en-IN"/>
              </w:rPr>
              <w:t>Highly Suitable (S1)</w:t>
            </w:r>
          </w:p>
        </w:tc>
        <w:tc>
          <w:tcPr>
            <w:tcW w:w="2340" w:type="dxa"/>
            <w:shd w:val="clear" w:color="auto" w:fill="F8FAFD"/>
            <w:tcMar>
              <w:top w:w="120" w:type="dxa"/>
              <w:left w:w="180" w:type="dxa"/>
              <w:bottom w:w="120" w:type="dxa"/>
              <w:right w:w="180" w:type="dxa"/>
            </w:tcMar>
          </w:tcPr>
          <w:p w14:paraId="694547ED" w14:textId="1FF8DEE0" w:rsidR="006148EC" w:rsidRPr="006148EC" w:rsidRDefault="006148EC" w:rsidP="006148EC">
            <w:pPr>
              <w:pStyle w:val="BodyText"/>
              <w:ind w:left="360" w:right="352"/>
              <w:rPr>
                <w:lang w:val="en-IN"/>
              </w:rPr>
            </w:pPr>
            <w:r w:rsidRPr="006148EC">
              <w:rPr>
                <w:noProof/>
                <w:lang w:val="en-IN"/>
              </w:rPr>
              <w:drawing>
                <wp:inline distT="0" distB="0" distL="0" distR="0" wp14:anchorId="45FEAE28" wp14:editId="7E167FE9">
                  <wp:extent cx="38100" cy="19050"/>
                  <wp:effectExtent l="0" t="0" r="0" b="0"/>
                  <wp:docPr id="273667446"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2340" w:type="dxa"/>
            <w:shd w:val="clear" w:color="auto" w:fill="F8FAFD"/>
            <w:tcMar>
              <w:top w:w="120" w:type="dxa"/>
              <w:left w:w="180" w:type="dxa"/>
              <w:bottom w:w="120" w:type="dxa"/>
              <w:right w:w="180" w:type="dxa"/>
            </w:tcMar>
          </w:tcPr>
          <w:p w14:paraId="21E54D6E" w14:textId="77777777" w:rsidR="006148EC" w:rsidRPr="006148EC" w:rsidRDefault="006148EC" w:rsidP="006148EC">
            <w:pPr>
              <w:pStyle w:val="BodyText"/>
              <w:spacing w:before="0" w:line="276" w:lineRule="auto"/>
              <w:ind w:left="360" w:right="352"/>
              <w:rPr>
                <w:lang w:val="en-IN"/>
              </w:rPr>
            </w:pPr>
            <w:r w:rsidRPr="006148EC">
              <w:rPr>
                <w:lang w:val="en-IN"/>
              </w:rPr>
              <w:t>5</w:t>
            </w:r>
          </w:p>
        </w:tc>
        <w:tc>
          <w:tcPr>
            <w:tcW w:w="2340" w:type="dxa"/>
            <w:shd w:val="clear" w:color="auto" w:fill="F8FAFD"/>
            <w:tcMar>
              <w:top w:w="120" w:type="dxa"/>
              <w:left w:w="180" w:type="dxa"/>
              <w:bottom w:w="120" w:type="dxa"/>
              <w:right w:w="180" w:type="dxa"/>
            </w:tcMar>
          </w:tcPr>
          <w:p w14:paraId="74D831E0" w14:textId="77777777" w:rsidR="006148EC" w:rsidRPr="006148EC" w:rsidRDefault="006148EC" w:rsidP="006148EC">
            <w:pPr>
              <w:pStyle w:val="BodyText"/>
              <w:spacing w:before="0" w:line="276" w:lineRule="auto"/>
              <w:ind w:left="360" w:right="352"/>
              <w:rPr>
                <w:lang w:val="en-IN"/>
              </w:rPr>
            </w:pPr>
            <w:r w:rsidRPr="006148EC">
              <w:rPr>
                <w:lang w:val="en-IN"/>
              </w:rPr>
              <w:t>8.2</w:t>
            </w:r>
          </w:p>
        </w:tc>
      </w:tr>
      <w:tr w:rsidR="006148EC" w:rsidRPr="006148EC" w14:paraId="0C308EA6" w14:textId="77777777" w:rsidTr="00314657">
        <w:trPr>
          <w:jc w:val="center"/>
        </w:trPr>
        <w:tc>
          <w:tcPr>
            <w:tcW w:w="2340" w:type="dxa"/>
            <w:shd w:val="clear" w:color="auto" w:fill="F8FAFD"/>
            <w:tcMar>
              <w:top w:w="120" w:type="dxa"/>
              <w:left w:w="180" w:type="dxa"/>
              <w:bottom w:w="120" w:type="dxa"/>
              <w:right w:w="180" w:type="dxa"/>
            </w:tcMar>
          </w:tcPr>
          <w:p w14:paraId="4B9F1B09" w14:textId="77777777" w:rsidR="006148EC" w:rsidRPr="006148EC" w:rsidRDefault="006148EC" w:rsidP="006148EC">
            <w:pPr>
              <w:pStyle w:val="BodyText"/>
              <w:spacing w:before="0" w:line="276" w:lineRule="auto"/>
              <w:ind w:left="360" w:right="352"/>
              <w:rPr>
                <w:lang w:val="en-IN"/>
              </w:rPr>
            </w:pPr>
            <w:r w:rsidRPr="006148EC">
              <w:rPr>
                <w:lang w:val="en-IN"/>
              </w:rPr>
              <w:t>Moderately Suitable (S2)</w:t>
            </w:r>
          </w:p>
        </w:tc>
        <w:tc>
          <w:tcPr>
            <w:tcW w:w="2340" w:type="dxa"/>
            <w:shd w:val="clear" w:color="auto" w:fill="F8FAFD"/>
            <w:tcMar>
              <w:top w:w="120" w:type="dxa"/>
              <w:left w:w="180" w:type="dxa"/>
              <w:bottom w:w="120" w:type="dxa"/>
              <w:right w:w="180" w:type="dxa"/>
            </w:tcMar>
          </w:tcPr>
          <w:p w14:paraId="31DCFF56" w14:textId="3C511DD1" w:rsidR="006148EC" w:rsidRPr="006148EC" w:rsidRDefault="006148EC" w:rsidP="006148EC">
            <w:pPr>
              <w:pStyle w:val="BodyText"/>
              <w:ind w:left="360" w:right="352"/>
              <w:rPr>
                <w:lang w:val="en-IN"/>
              </w:rPr>
            </w:pPr>
            <w:r w:rsidRPr="006148EC">
              <w:rPr>
                <w:noProof/>
                <w:lang w:val="en-IN"/>
              </w:rPr>
              <w:drawing>
                <wp:inline distT="0" distB="0" distL="0" distR="0" wp14:anchorId="566C06A7" wp14:editId="0289DE01">
                  <wp:extent cx="38100" cy="19050"/>
                  <wp:effectExtent l="0" t="0" r="0" b="0"/>
                  <wp:docPr id="1436370757"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2340" w:type="dxa"/>
            <w:shd w:val="clear" w:color="auto" w:fill="F8FAFD"/>
            <w:tcMar>
              <w:top w:w="120" w:type="dxa"/>
              <w:left w:w="180" w:type="dxa"/>
              <w:bottom w:w="120" w:type="dxa"/>
              <w:right w:w="180" w:type="dxa"/>
            </w:tcMar>
          </w:tcPr>
          <w:p w14:paraId="063C62A2" w14:textId="77777777" w:rsidR="006148EC" w:rsidRPr="006148EC" w:rsidRDefault="006148EC" w:rsidP="006148EC">
            <w:pPr>
              <w:pStyle w:val="BodyText"/>
              <w:spacing w:before="0" w:line="276" w:lineRule="auto"/>
              <w:ind w:left="360" w:right="352"/>
              <w:rPr>
                <w:lang w:val="en-IN"/>
              </w:rPr>
            </w:pPr>
            <w:r w:rsidRPr="006148EC">
              <w:rPr>
                <w:lang w:val="en-IN"/>
              </w:rPr>
              <w:t>21</w:t>
            </w:r>
          </w:p>
        </w:tc>
        <w:tc>
          <w:tcPr>
            <w:tcW w:w="2340" w:type="dxa"/>
            <w:shd w:val="clear" w:color="auto" w:fill="F8FAFD"/>
            <w:tcMar>
              <w:top w:w="120" w:type="dxa"/>
              <w:left w:w="180" w:type="dxa"/>
              <w:bottom w:w="120" w:type="dxa"/>
              <w:right w:w="180" w:type="dxa"/>
            </w:tcMar>
          </w:tcPr>
          <w:p w14:paraId="55A092E7" w14:textId="77777777" w:rsidR="006148EC" w:rsidRPr="006148EC" w:rsidRDefault="006148EC" w:rsidP="006148EC">
            <w:pPr>
              <w:pStyle w:val="BodyText"/>
              <w:spacing w:before="0" w:line="276" w:lineRule="auto"/>
              <w:ind w:left="360" w:right="352"/>
              <w:rPr>
                <w:lang w:val="en-IN"/>
              </w:rPr>
            </w:pPr>
            <w:r w:rsidRPr="006148EC">
              <w:rPr>
                <w:lang w:val="en-IN"/>
              </w:rPr>
              <w:t>34.4</w:t>
            </w:r>
          </w:p>
        </w:tc>
      </w:tr>
      <w:tr w:rsidR="006148EC" w:rsidRPr="006148EC" w14:paraId="5E1F8183" w14:textId="77777777" w:rsidTr="00314657">
        <w:trPr>
          <w:jc w:val="center"/>
        </w:trPr>
        <w:tc>
          <w:tcPr>
            <w:tcW w:w="2340" w:type="dxa"/>
            <w:shd w:val="clear" w:color="auto" w:fill="F8FAFD"/>
            <w:tcMar>
              <w:top w:w="120" w:type="dxa"/>
              <w:left w:w="180" w:type="dxa"/>
              <w:bottom w:w="120" w:type="dxa"/>
              <w:right w:w="180" w:type="dxa"/>
            </w:tcMar>
          </w:tcPr>
          <w:p w14:paraId="3DDD2AE8" w14:textId="77777777" w:rsidR="006148EC" w:rsidRPr="006148EC" w:rsidRDefault="006148EC" w:rsidP="006148EC">
            <w:pPr>
              <w:pStyle w:val="BodyText"/>
              <w:spacing w:before="0" w:line="276" w:lineRule="auto"/>
              <w:ind w:left="360" w:right="352"/>
              <w:rPr>
                <w:b/>
                <w:lang w:val="en-IN"/>
              </w:rPr>
            </w:pPr>
            <w:r w:rsidRPr="006148EC">
              <w:rPr>
                <w:b/>
                <w:lang w:val="en-IN"/>
              </w:rPr>
              <w:t>Marginally Suitable (S3)</w:t>
            </w:r>
          </w:p>
        </w:tc>
        <w:tc>
          <w:tcPr>
            <w:tcW w:w="2340" w:type="dxa"/>
            <w:shd w:val="clear" w:color="auto" w:fill="F8FAFD"/>
            <w:tcMar>
              <w:top w:w="120" w:type="dxa"/>
              <w:left w:w="180" w:type="dxa"/>
              <w:bottom w:w="120" w:type="dxa"/>
              <w:right w:w="180" w:type="dxa"/>
            </w:tcMar>
          </w:tcPr>
          <w:p w14:paraId="68C3CD63" w14:textId="77777777" w:rsidR="006148EC" w:rsidRPr="006148EC" w:rsidRDefault="006148EC" w:rsidP="006148EC">
            <w:pPr>
              <w:pStyle w:val="BodyText"/>
              <w:spacing w:before="0" w:line="276" w:lineRule="auto"/>
              <w:ind w:left="360" w:right="352"/>
              <w:rPr>
                <w:b/>
                <w:lang w:val="en-IN"/>
              </w:rPr>
            </w:pPr>
            <w:r w:rsidRPr="006148EC">
              <w:rPr>
                <w:b/>
                <w:lang w:val="en-IN"/>
              </w:rPr>
              <w:t>40 – 59.9</w:t>
            </w:r>
          </w:p>
        </w:tc>
        <w:tc>
          <w:tcPr>
            <w:tcW w:w="2340" w:type="dxa"/>
            <w:shd w:val="clear" w:color="auto" w:fill="F8FAFD"/>
            <w:tcMar>
              <w:top w:w="120" w:type="dxa"/>
              <w:left w:w="180" w:type="dxa"/>
              <w:bottom w:w="120" w:type="dxa"/>
              <w:right w:w="180" w:type="dxa"/>
            </w:tcMar>
          </w:tcPr>
          <w:p w14:paraId="3AAB3744" w14:textId="77777777" w:rsidR="006148EC" w:rsidRPr="006148EC" w:rsidRDefault="006148EC" w:rsidP="006148EC">
            <w:pPr>
              <w:pStyle w:val="BodyText"/>
              <w:spacing w:before="0" w:line="276" w:lineRule="auto"/>
              <w:ind w:left="360" w:right="352"/>
              <w:rPr>
                <w:b/>
                <w:lang w:val="en-IN"/>
              </w:rPr>
            </w:pPr>
            <w:r w:rsidRPr="006148EC">
              <w:rPr>
                <w:b/>
                <w:lang w:val="en-IN"/>
              </w:rPr>
              <w:t>29</w:t>
            </w:r>
          </w:p>
        </w:tc>
        <w:tc>
          <w:tcPr>
            <w:tcW w:w="2340" w:type="dxa"/>
            <w:shd w:val="clear" w:color="auto" w:fill="F8FAFD"/>
            <w:tcMar>
              <w:top w:w="120" w:type="dxa"/>
              <w:left w:w="180" w:type="dxa"/>
              <w:bottom w:w="120" w:type="dxa"/>
              <w:right w:w="180" w:type="dxa"/>
            </w:tcMar>
          </w:tcPr>
          <w:p w14:paraId="5573FF8C" w14:textId="77777777" w:rsidR="006148EC" w:rsidRPr="006148EC" w:rsidRDefault="006148EC" w:rsidP="006148EC">
            <w:pPr>
              <w:pStyle w:val="BodyText"/>
              <w:spacing w:before="0" w:line="276" w:lineRule="auto"/>
              <w:ind w:left="360" w:right="352"/>
              <w:rPr>
                <w:b/>
                <w:lang w:val="en-IN"/>
              </w:rPr>
            </w:pPr>
            <w:r w:rsidRPr="006148EC">
              <w:rPr>
                <w:b/>
                <w:lang w:val="en-IN"/>
              </w:rPr>
              <w:t>47.5</w:t>
            </w:r>
          </w:p>
        </w:tc>
      </w:tr>
      <w:tr w:rsidR="006148EC" w:rsidRPr="006148EC" w14:paraId="7763769C" w14:textId="77777777" w:rsidTr="00314657">
        <w:trPr>
          <w:jc w:val="center"/>
        </w:trPr>
        <w:tc>
          <w:tcPr>
            <w:tcW w:w="2340" w:type="dxa"/>
            <w:shd w:val="clear" w:color="auto" w:fill="F8FAFD"/>
            <w:tcMar>
              <w:top w:w="120" w:type="dxa"/>
              <w:left w:w="180" w:type="dxa"/>
              <w:bottom w:w="120" w:type="dxa"/>
              <w:right w:w="180" w:type="dxa"/>
            </w:tcMar>
          </w:tcPr>
          <w:p w14:paraId="79B86EC1" w14:textId="77777777" w:rsidR="006148EC" w:rsidRPr="006148EC" w:rsidRDefault="006148EC" w:rsidP="006148EC">
            <w:pPr>
              <w:pStyle w:val="BodyText"/>
              <w:spacing w:before="0" w:line="276" w:lineRule="auto"/>
              <w:ind w:left="360" w:right="352"/>
              <w:rPr>
                <w:lang w:val="en-IN"/>
              </w:rPr>
            </w:pPr>
            <w:r w:rsidRPr="006148EC">
              <w:rPr>
                <w:lang w:val="en-IN"/>
              </w:rPr>
              <w:t>Unsuitable (S4)</w:t>
            </w:r>
          </w:p>
        </w:tc>
        <w:tc>
          <w:tcPr>
            <w:tcW w:w="2340" w:type="dxa"/>
            <w:shd w:val="clear" w:color="auto" w:fill="F8FAFD"/>
            <w:tcMar>
              <w:top w:w="120" w:type="dxa"/>
              <w:left w:w="180" w:type="dxa"/>
              <w:bottom w:w="120" w:type="dxa"/>
              <w:right w:w="180" w:type="dxa"/>
            </w:tcMar>
          </w:tcPr>
          <w:p w14:paraId="337DDF18" w14:textId="3399203E" w:rsidR="006148EC" w:rsidRPr="006148EC" w:rsidRDefault="006148EC" w:rsidP="006148EC">
            <w:pPr>
              <w:pStyle w:val="BodyText"/>
              <w:ind w:left="360" w:right="352"/>
              <w:rPr>
                <w:lang w:val="en-IN"/>
              </w:rPr>
            </w:pPr>
            <w:r w:rsidRPr="006148EC">
              <w:rPr>
                <w:noProof/>
                <w:lang w:val="en-IN"/>
              </w:rPr>
              <w:drawing>
                <wp:inline distT="0" distB="0" distL="0" distR="0" wp14:anchorId="09481182" wp14:editId="064AE6EE">
                  <wp:extent cx="38100" cy="19050"/>
                  <wp:effectExtent l="0" t="0" r="0" b="0"/>
                  <wp:docPr id="2029227790"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tc>
        <w:tc>
          <w:tcPr>
            <w:tcW w:w="2340" w:type="dxa"/>
            <w:shd w:val="clear" w:color="auto" w:fill="F8FAFD"/>
            <w:tcMar>
              <w:top w:w="120" w:type="dxa"/>
              <w:left w:w="180" w:type="dxa"/>
              <w:bottom w:w="120" w:type="dxa"/>
              <w:right w:w="180" w:type="dxa"/>
            </w:tcMar>
          </w:tcPr>
          <w:p w14:paraId="7EE474A8" w14:textId="77777777" w:rsidR="006148EC" w:rsidRPr="006148EC" w:rsidRDefault="006148EC" w:rsidP="006148EC">
            <w:pPr>
              <w:pStyle w:val="BodyText"/>
              <w:spacing w:before="0" w:line="276" w:lineRule="auto"/>
              <w:ind w:left="360" w:right="352"/>
              <w:rPr>
                <w:lang w:val="en-IN"/>
              </w:rPr>
            </w:pPr>
            <w:r w:rsidRPr="006148EC">
              <w:rPr>
                <w:lang w:val="en-IN"/>
              </w:rPr>
              <w:t>6</w:t>
            </w:r>
          </w:p>
        </w:tc>
        <w:tc>
          <w:tcPr>
            <w:tcW w:w="2340" w:type="dxa"/>
            <w:shd w:val="clear" w:color="auto" w:fill="F8FAFD"/>
            <w:tcMar>
              <w:top w:w="120" w:type="dxa"/>
              <w:left w:w="180" w:type="dxa"/>
              <w:bottom w:w="120" w:type="dxa"/>
              <w:right w:w="180" w:type="dxa"/>
            </w:tcMar>
          </w:tcPr>
          <w:p w14:paraId="1D5C422D" w14:textId="77777777" w:rsidR="006148EC" w:rsidRPr="006148EC" w:rsidRDefault="006148EC" w:rsidP="006148EC">
            <w:pPr>
              <w:pStyle w:val="BodyText"/>
              <w:spacing w:before="0" w:line="276" w:lineRule="auto"/>
              <w:ind w:left="360" w:right="352"/>
              <w:rPr>
                <w:lang w:val="en-IN"/>
              </w:rPr>
            </w:pPr>
            <w:r w:rsidRPr="006148EC">
              <w:rPr>
                <w:lang w:val="en-IN"/>
              </w:rPr>
              <w:t>9.8</w:t>
            </w:r>
          </w:p>
        </w:tc>
      </w:tr>
    </w:tbl>
    <w:p w14:paraId="5E8EAC70" w14:textId="77777777" w:rsidR="00314657" w:rsidRDefault="00314657" w:rsidP="006148EC">
      <w:pPr>
        <w:pStyle w:val="BodyText"/>
        <w:spacing w:before="0" w:line="276" w:lineRule="auto"/>
        <w:ind w:left="360" w:right="352"/>
        <w:rPr>
          <w:b/>
          <w:lang w:val="en-IN"/>
        </w:rPr>
      </w:pPr>
    </w:p>
    <w:p w14:paraId="3DCA3CB4" w14:textId="47C152B4" w:rsidR="006148EC" w:rsidRPr="006148EC" w:rsidRDefault="006148EC" w:rsidP="006148EC">
      <w:pPr>
        <w:pStyle w:val="BodyText"/>
        <w:spacing w:before="0" w:line="276" w:lineRule="auto"/>
        <w:ind w:left="360" w:right="352"/>
        <w:rPr>
          <w:lang w:val="en-IN"/>
        </w:rPr>
      </w:pPr>
      <w:r w:rsidRPr="006148EC">
        <w:rPr>
          <w:b/>
          <w:lang w:val="en-IN"/>
        </w:rPr>
        <w:t>Key Finding 1:</w:t>
      </w:r>
      <w:r w:rsidRPr="006148EC">
        <w:rPr>
          <w:lang w:val="en-IN"/>
        </w:rPr>
        <w:t xml:space="preserve"> The results demonstrate that the majority of concentrated resettlement sites in Gansu Province fall into the </w:t>
      </w:r>
      <w:r w:rsidRPr="006148EC">
        <w:rPr>
          <w:b/>
          <w:lang w:val="en-IN"/>
        </w:rPr>
        <w:t>Marginally Suitable (S3)</w:t>
      </w:r>
      <w:r w:rsidRPr="006148EC">
        <w:rPr>
          <w:lang w:val="en-IN"/>
        </w:rPr>
        <w:t xml:space="preserve"> category (47.5% of sites), with only a small fraction achieving Highly Suitable status (8.2%). The average </w:t>
      </w:r>
      <w:r w:rsidRPr="006148EC">
        <w:rPr>
          <w:noProof/>
          <w:lang w:val="en-IN"/>
        </w:rPr>
        <w:drawing>
          <wp:inline distT="0" distB="0" distL="0" distR="0" wp14:anchorId="2CD45DBA" wp14:editId="42670C2D">
            <wp:extent cx="38100" cy="19050"/>
            <wp:effectExtent l="0" t="0" r="0" b="0"/>
            <wp:docPr id="248366067"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for the entire study area was </w:t>
      </w:r>
      <w:r w:rsidRPr="006148EC">
        <w:rPr>
          <w:noProof/>
          <w:lang w:val="en-IN"/>
        </w:rPr>
        <w:drawing>
          <wp:inline distT="0" distB="0" distL="0" distR="0" wp14:anchorId="6A1C7692" wp14:editId="4F386AD3">
            <wp:extent cx="38100" cy="19050"/>
            <wp:effectExtent l="0" t="0" r="0" b="0"/>
            <wp:docPr id="302867238"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This finding directly answers the implicit question of the original title: suitability is generally moderate to marginal, suggesting a persistent gap between policy goals and on-the-ground reality.</w:t>
      </w:r>
    </w:p>
    <w:p w14:paraId="75370BA8" w14:textId="4EA77948" w:rsidR="006148EC" w:rsidRPr="006148EC" w:rsidRDefault="006148EC" w:rsidP="00314657">
      <w:pPr>
        <w:pStyle w:val="BodyText"/>
        <w:spacing w:line="276" w:lineRule="auto"/>
        <w:ind w:left="360" w:right="352"/>
        <w:rPr>
          <w:lang w:val="en-IN"/>
        </w:rPr>
      </w:pPr>
      <w:r w:rsidRPr="006148EC">
        <w:rPr>
          <w:lang w:val="en-IN"/>
        </w:rPr>
        <w:t>The spatial analysis showed a clear concentration of the few Highly Suitable sites (S1) in the eastern, more developed, and slightly less arid regions of Gansu, often closer to established urban centres. The Unsuitable (S4) sites were primarily clustered deep within the most remote, arid pockets, constrained by severe resource limitations.</w:t>
      </w:r>
    </w:p>
    <w:p w14:paraId="041DFE5B" w14:textId="09E4AF1A" w:rsidR="006148EC" w:rsidRPr="006148EC" w:rsidRDefault="006148EC" w:rsidP="00314657">
      <w:pPr>
        <w:pStyle w:val="BodyText"/>
        <w:spacing w:line="276" w:lineRule="auto"/>
        <w:ind w:left="360" w:right="352"/>
        <w:rPr>
          <w:b/>
          <w:lang w:val="en-IN"/>
        </w:rPr>
      </w:pPr>
      <w:r w:rsidRPr="006148EC">
        <w:rPr>
          <w:b/>
          <w:lang w:val="en-IN"/>
        </w:rPr>
        <w:t>Suitability Assessment across Different Indicator Pillars</w:t>
      </w:r>
    </w:p>
    <w:p w14:paraId="0DB3A4B4" w14:textId="77777777" w:rsidR="006148EC" w:rsidRPr="006148EC" w:rsidRDefault="006148EC" w:rsidP="006148EC">
      <w:pPr>
        <w:pStyle w:val="BodyText"/>
        <w:spacing w:line="276" w:lineRule="auto"/>
        <w:ind w:left="360" w:right="352"/>
        <w:rPr>
          <w:lang w:val="en-IN"/>
        </w:rPr>
      </w:pPr>
      <w:r w:rsidRPr="006148EC">
        <w:rPr>
          <w:lang w:val="en-IN"/>
        </w:rPr>
        <w:t>A deeper look at the average scores for the three pillars provides a nuanced understanding:</w:t>
      </w:r>
    </w:p>
    <w:p w14:paraId="3FC25758" w14:textId="33A5907F" w:rsidR="006148EC" w:rsidRPr="006148EC" w:rsidRDefault="006148EC" w:rsidP="006148EC">
      <w:pPr>
        <w:pStyle w:val="BodyText"/>
        <w:numPr>
          <w:ilvl w:val="0"/>
          <w:numId w:val="9"/>
        </w:numPr>
        <w:spacing w:line="276" w:lineRule="auto"/>
        <w:ind w:right="352"/>
        <w:rPr>
          <w:lang w:val="en-IN"/>
        </w:rPr>
      </w:pPr>
      <w:r w:rsidRPr="006148EC">
        <w:rPr>
          <w:b/>
          <w:lang w:val="en-IN"/>
        </w:rPr>
        <w:t>Average Natural-Ecological Score:</w:t>
      </w:r>
      <w:r w:rsidRPr="006148EC">
        <w:rPr>
          <w:lang w:val="en-IN"/>
        </w:rPr>
        <w:t xml:space="preserve"> </w:t>
      </w:r>
      <w:r w:rsidRPr="006148EC">
        <w:rPr>
          <w:noProof/>
          <w:lang w:val="en-IN"/>
        </w:rPr>
        <w:drawing>
          <wp:inline distT="0" distB="0" distL="0" distR="0" wp14:anchorId="60FD9C40" wp14:editId="6BB30E4C">
            <wp:extent cx="38100" cy="19050"/>
            <wp:effectExtent l="0" t="0" r="0" b="0"/>
            <wp:docPr id="133650007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1D9DAF86" w14:textId="50CBAF03" w:rsidR="006148EC" w:rsidRPr="006148EC" w:rsidRDefault="006148EC" w:rsidP="006148EC">
      <w:pPr>
        <w:pStyle w:val="BodyText"/>
        <w:numPr>
          <w:ilvl w:val="0"/>
          <w:numId w:val="9"/>
        </w:numPr>
        <w:spacing w:line="276" w:lineRule="auto"/>
        <w:ind w:right="352"/>
        <w:rPr>
          <w:lang w:val="en-IN"/>
        </w:rPr>
      </w:pPr>
      <w:r w:rsidRPr="006148EC">
        <w:rPr>
          <w:b/>
          <w:lang w:val="en-IN"/>
        </w:rPr>
        <w:t>Average Location-Accessibility Score:</w:t>
      </w:r>
      <w:r w:rsidRPr="006148EC">
        <w:rPr>
          <w:lang w:val="en-IN"/>
        </w:rPr>
        <w:t xml:space="preserve"> </w:t>
      </w:r>
      <w:r w:rsidRPr="006148EC">
        <w:rPr>
          <w:noProof/>
          <w:lang w:val="en-IN"/>
        </w:rPr>
        <w:drawing>
          <wp:inline distT="0" distB="0" distL="0" distR="0" wp14:anchorId="7C601B96" wp14:editId="08276DFC">
            <wp:extent cx="38100" cy="19050"/>
            <wp:effectExtent l="0" t="0" r="0" b="0"/>
            <wp:docPr id="45631915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45637861" w14:textId="6573265B" w:rsidR="006148EC" w:rsidRPr="006148EC" w:rsidRDefault="006148EC" w:rsidP="006148EC">
      <w:pPr>
        <w:pStyle w:val="BodyText"/>
        <w:numPr>
          <w:ilvl w:val="0"/>
          <w:numId w:val="9"/>
        </w:numPr>
        <w:spacing w:line="276" w:lineRule="auto"/>
        <w:ind w:right="352"/>
        <w:rPr>
          <w:lang w:val="en-IN"/>
        </w:rPr>
      </w:pPr>
      <w:r w:rsidRPr="006148EC">
        <w:rPr>
          <w:b/>
          <w:lang w:val="en-IN"/>
        </w:rPr>
        <w:t>Average Socio-Economic Score:</w:t>
      </w:r>
      <w:r w:rsidRPr="006148EC">
        <w:rPr>
          <w:lang w:val="en-IN"/>
        </w:rPr>
        <w:t xml:space="preserve"> </w:t>
      </w:r>
      <w:r w:rsidRPr="006148EC">
        <w:rPr>
          <w:noProof/>
          <w:lang w:val="en-IN"/>
        </w:rPr>
        <w:drawing>
          <wp:inline distT="0" distB="0" distL="0" distR="0" wp14:anchorId="0E0F4F9E" wp14:editId="0C0DCABD">
            <wp:extent cx="38100" cy="19050"/>
            <wp:effectExtent l="0" t="0" r="0" b="0"/>
            <wp:docPr id="211505515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p>
    <w:p w14:paraId="50D92C13" w14:textId="77777777" w:rsidR="00314657" w:rsidRDefault="00314657" w:rsidP="006148EC">
      <w:pPr>
        <w:pStyle w:val="BodyText"/>
        <w:spacing w:before="0" w:line="276" w:lineRule="auto"/>
        <w:ind w:left="360" w:right="352"/>
        <w:rPr>
          <w:lang w:val="en-IN"/>
        </w:rPr>
      </w:pPr>
    </w:p>
    <w:p w14:paraId="140DECC5" w14:textId="471A23B8" w:rsidR="006148EC" w:rsidRPr="006148EC" w:rsidRDefault="006148EC" w:rsidP="006148EC">
      <w:pPr>
        <w:pStyle w:val="BodyText"/>
        <w:spacing w:before="0" w:line="276" w:lineRule="auto"/>
        <w:ind w:left="360" w:right="352"/>
        <w:rPr>
          <w:lang w:val="en-IN"/>
        </w:rPr>
      </w:pPr>
      <w:r w:rsidRPr="006148EC">
        <w:rPr>
          <w:lang w:val="en-IN"/>
        </w:rPr>
        <w:lastRenderedPageBreak/>
        <w:t>The high average scores for Natural-Ecological and Location-Accessibility reflect the intentionality of the planning process; policymakers generally succeed in placing sites in areas with relatively low disaster risk (compared to the source areas) and providing basic access to infrastructure [47, 49].</w:t>
      </w:r>
    </w:p>
    <w:p w14:paraId="588F7276" w14:textId="69091807" w:rsidR="006148EC" w:rsidRPr="006148EC" w:rsidRDefault="006148EC" w:rsidP="00314657">
      <w:pPr>
        <w:pStyle w:val="BodyText"/>
        <w:spacing w:line="276" w:lineRule="auto"/>
        <w:ind w:left="360" w:right="352"/>
        <w:rPr>
          <w:lang w:val="en-IN"/>
        </w:rPr>
      </w:pPr>
      <w:r w:rsidRPr="006148EC">
        <w:rPr>
          <w:lang w:val="en-IN"/>
        </w:rPr>
        <w:t xml:space="preserve">However, the significantly low average score for the </w:t>
      </w:r>
      <w:r w:rsidRPr="006148EC">
        <w:rPr>
          <w:b/>
          <w:lang w:val="en-IN"/>
        </w:rPr>
        <w:t>Socio-Economic Pillar</w:t>
      </w:r>
      <w:r w:rsidRPr="006148EC">
        <w:rPr>
          <w:lang w:val="en-IN"/>
        </w:rPr>
        <w:t xml:space="preserve"> (</w:t>
      </w:r>
      <w:r w:rsidRPr="006148EC">
        <w:rPr>
          <w:noProof/>
          <w:lang w:val="en-IN"/>
        </w:rPr>
        <w:drawing>
          <wp:inline distT="0" distB="0" distL="0" distR="0" wp14:anchorId="7C6E1944" wp14:editId="1DC43ABB">
            <wp:extent cx="38100" cy="19050"/>
            <wp:effectExtent l="0" t="0" r="0" b="0"/>
            <wp:docPr id="923931778"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indicates that this dimension is the weakest link. While the physical move is executed, the economic transformation and integration required for long-term self-sufficiency are clearly lagging, confirming the validity of the hypothesis embedded in </w:t>
      </w:r>
      <w:r w:rsidRPr="006148EC">
        <w:rPr>
          <w:b/>
          <w:lang w:val="en-IN"/>
        </w:rPr>
        <w:t>Literature Gap 1</w:t>
      </w:r>
      <w:r w:rsidRPr="006148EC">
        <w:rPr>
          <w:lang w:val="en-IN"/>
        </w:rPr>
        <w:t>.</w:t>
      </w:r>
    </w:p>
    <w:p w14:paraId="7A486649" w14:textId="1CEBBCBB" w:rsidR="006148EC" w:rsidRPr="006148EC" w:rsidRDefault="006148EC" w:rsidP="00314657">
      <w:pPr>
        <w:pStyle w:val="BodyText"/>
        <w:spacing w:line="276" w:lineRule="auto"/>
        <w:ind w:left="360" w:right="352"/>
        <w:rPr>
          <w:b/>
          <w:lang w:val="en-IN"/>
        </w:rPr>
      </w:pPr>
      <w:r w:rsidRPr="006148EC">
        <w:rPr>
          <w:b/>
          <w:lang w:val="en-IN"/>
        </w:rPr>
        <w:t>Obstacle Factor Identification</w:t>
      </w:r>
    </w:p>
    <w:p w14:paraId="4688FF2C" w14:textId="3026802C" w:rsidR="006148EC" w:rsidRPr="006148EC" w:rsidRDefault="006148EC" w:rsidP="006148EC">
      <w:pPr>
        <w:pStyle w:val="BodyText"/>
        <w:spacing w:line="276" w:lineRule="auto"/>
        <w:ind w:left="360" w:right="352"/>
        <w:rPr>
          <w:lang w:val="en-IN"/>
        </w:rPr>
      </w:pPr>
      <w:r w:rsidRPr="006148EC">
        <w:rPr>
          <w:lang w:val="en-IN"/>
        </w:rPr>
        <w:t xml:space="preserve">The Obstacle Factor Model successfully quantified the indicators that most severely restrict the overall suitability score. The total obstacle degree for the sample averaged </w:t>
      </w:r>
      <w:r w:rsidRPr="006148EC">
        <w:rPr>
          <w:noProof/>
          <w:lang w:val="en-IN"/>
        </w:rPr>
        <w:drawing>
          <wp:inline distT="0" distB="0" distL="0" distR="0" wp14:anchorId="26CC40BD" wp14:editId="6508CD98">
            <wp:extent cx="38100" cy="19050"/>
            <wp:effectExtent l="0" t="0" r="0" b="0"/>
            <wp:docPr id="17237384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meaning, on average, sites are performing 32% below the ideal, weighted potential.</w:t>
      </w:r>
    </w:p>
    <w:p w14:paraId="10B2102E" w14:textId="1C5C14B8" w:rsidR="006148EC" w:rsidRPr="006148EC" w:rsidRDefault="006148EC" w:rsidP="006148EC">
      <w:pPr>
        <w:pStyle w:val="BodyText"/>
        <w:spacing w:line="276" w:lineRule="auto"/>
        <w:ind w:left="360" w:right="352"/>
        <w:rPr>
          <w:lang w:val="en-IN"/>
        </w:rPr>
      </w:pPr>
      <w:r w:rsidRPr="006148EC">
        <w:rPr>
          <w:b/>
          <w:lang w:val="en-IN"/>
        </w:rPr>
        <w:t>Key Finding 2:</w:t>
      </w:r>
      <w:r w:rsidRPr="006148EC">
        <w:rPr>
          <w:lang w:val="en-IN"/>
        </w:rPr>
        <w:t xml:space="preserve"> The top five obstacle factors (measured by average </w:t>
      </w:r>
      <w:r w:rsidRPr="006148EC">
        <w:rPr>
          <w:noProof/>
          <w:lang w:val="en-IN"/>
        </w:rPr>
        <w:drawing>
          <wp:inline distT="0" distB="0" distL="0" distR="0" wp14:anchorId="04DC5008" wp14:editId="7B78D177">
            <wp:extent cx="38100" cy="19050"/>
            <wp:effectExtent l="0" t="0" r="0" b="0"/>
            <wp:docPr id="128543883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across all sites) were:</w:t>
      </w:r>
    </w:p>
    <w:tbl>
      <w:tblPr>
        <w:tblW w:w="10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184"/>
        <w:gridCol w:w="2184"/>
        <w:gridCol w:w="2184"/>
        <w:gridCol w:w="1992"/>
        <w:gridCol w:w="2376"/>
      </w:tblGrid>
      <w:tr w:rsidR="006148EC" w:rsidRPr="006148EC" w14:paraId="24BAF747" w14:textId="77777777" w:rsidTr="00E34B5B">
        <w:trPr>
          <w:trHeight w:val="1851"/>
        </w:trPr>
        <w:tc>
          <w:tcPr>
            <w:tcW w:w="2184" w:type="dxa"/>
            <w:shd w:val="clear" w:color="auto" w:fill="F8FAFD"/>
            <w:tcMar>
              <w:top w:w="120" w:type="dxa"/>
              <w:left w:w="180" w:type="dxa"/>
              <w:bottom w:w="120" w:type="dxa"/>
              <w:right w:w="180" w:type="dxa"/>
            </w:tcMar>
          </w:tcPr>
          <w:p w14:paraId="1A237C58" w14:textId="77777777" w:rsidR="006148EC" w:rsidRPr="006148EC" w:rsidRDefault="006148EC" w:rsidP="006148EC">
            <w:pPr>
              <w:pStyle w:val="BodyText"/>
              <w:spacing w:before="0" w:line="276" w:lineRule="auto"/>
              <w:ind w:left="360" w:right="352"/>
              <w:rPr>
                <w:lang w:val="en-IN"/>
              </w:rPr>
            </w:pPr>
            <w:r w:rsidRPr="006148EC">
              <w:rPr>
                <w:lang w:val="en-IN"/>
              </w:rPr>
              <w:t>Rank</w:t>
            </w:r>
          </w:p>
        </w:tc>
        <w:tc>
          <w:tcPr>
            <w:tcW w:w="2184" w:type="dxa"/>
            <w:shd w:val="clear" w:color="auto" w:fill="F8FAFD"/>
            <w:tcMar>
              <w:top w:w="120" w:type="dxa"/>
              <w:left w:w="180" w:type="dxa"/>
              <w:bottom w:w="120" w:type="dxa"/>
              <w:right w:w="180" w:type="dxa"/>
            </w:tcMar>
          </w:tcPr>
          <w:p w14:paraId="5E660852" w14:textId="77777777" w:rsidR="006148EC" w:rsidRPr="006148EC" w:rsidRDefault="006148EC" w:rsidP="006148EC">
            <w:pPr>
              <w:pStyle w:val="BodyText"/>
              <w:spacing w:before="0" w:line="276" w:lineRule="auto"/>
              <w:ind w:left="360" w:right="352"/>
              <w:rPr>
                <w:lang w:val="en-IN"/>
              </w:rPr>
            </w:pPr>
            <w:r w:rsidRPr="006148EC">
              <w:rPr>
                <w:lang w:val="en-IN"/>
              </w:rPr>
              <w:t>Indicator</w:t>
            </w:r>
          </w:p>
        </w:tc>
        <w:tc>
          <w:tcPr>
            <w:tcW w:w="2184" w:type="dxa"/>
            <w:shd w:val="clear" w:color="auto" w:fill="F8FAFD"/>
            <w:tcMar>
              <w:top w:w="120" w:type="dxa"/>
              <w:left w:w="180" w:type="dxa"/>
              <w:bottom w:w="120" w:type="dxa"/>
              <w:right w:w="180" w:type="dxa"/>
            </w:tcMar>
          </w:tcPr>
          <w:p w14:paraId="0B5A0F27" w14:textId="77777777" w:rsidR="006148EC" w:rsidRPr="006148EC" w:rsidRDefault="006148EC" w:rsidP="006148EC">
            <w:pPr>
              <w:pStyle w:val="BodyText"/>
              <w:spacing w:before="0" w:line="276" w:lineRule="auto"/>
              <w:ind w:left="360" w:right="352"/>
              <w:rPr>
                <w:lang w:val="en-IN"/>
              </w:rPr>
            </w:pPr>
            <w:r w:rsidRPr="006148EC">
              <w:rPr>
                <w:lang w:val="en-IN"/>
              </w:rPr>
              <w:t>Pillar</w:t>
            </w:r>
          </w:p>
        </w:tc>
        <w:tc>
          <w:tcPr>
            <w:tcW w:w="1992" w:type="dxa"/>
            <w:shd w:val="clear" w:color="auto" w:fill="F8FAFD"/>
            <w:tcMar>
              <w:top w:w="120" w:type="dxa"/>
              <w:left w:w="180" w:type="dxa"/>
              <w:bottom w:w="120" w:type="dxa"/>
              <w:right w:w="180" w:type="dxa"/>
            </w:tcMar>
          </w:tcPr>
          <w:p w14:paraId="19040B16" w14:textId="11920F68" w:rsidR="006148EC" w:rsidRPr="006148EC" w:rsidRDefault="006148EC" w:rsidP="006148EC">
            <w:pPr>
              <w:pStyle w:val="BodyText"/>
              <w:spacing w:before="0" w:line="276" w:lineRule="auto"/>
              <w:ind w:left="360" w:right="352"/>
              <w:rPr>
                <w:lang w:val="en-IN"/>
              </w:rPr>
            </w:pPr>
            <w:r w:rsidRPr="006148EC">
              <w:rPr>
                <w:lang w:val="en-IN"/>
              </w:rPr>
              <w:t>Average Obstacle Degree (</w:t>
            </w:r>
            <w:r w:rsidRPr="006148EC">
              <w:rPr>
                <w:noProof/>
                <w:lang w:val="en-IN"/>
              </w:rPr>
              <w:drawing>
                <wp:inline distT="0" distB="0" distL="0" distR="0" wp14:anchorId="12F6ED52" wp14:editId="43DFCAED">
                  <wp:extent cx="38100" cy="19050"/>
                  <wp:effectExtent l="0" t="0" r="0" b="0"/>
                  <wp:docPr id="185683542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w:t>
            </w:r>
          </w:p>
        </w:tc>
        <w:tc>
          <w:tcPr>
            <w:tcW w:w="2376" w:type="dxa"/>
            <w:shd w:val="clear" w:color="auto" w:fill="F8FAFD"/>
            <w:tcMar>
              <w:top w:w="120" w:type="dxa"/>
              <w:left w:w="180" w:type="dxa"/>
              <w:bottom w:w="120" w:type="dxa"/>
              <w:right w:w="180" w:type="dxa"/>
            </w:tcMar>
          </w:tcPr>
          <w:p w14:paraId="4B29FC25" w14:textId="77777777" w:rsidR="006148EC" w:rsidRPr="006148EC" w:rsidRDefault="006148EC" w:rsidP="006148EC">
            <w:pPr>
              <w:pStyle w:val="BodyText"/>
              <w:spacing w:before="0" w:line="276" w:lineRule="auto"/>
              <w:ind w:left="360" w:right="352"/>
              <w:rPr>
                <w:lang w:val="en-IN"/>
              </w:rPr>
            </w:pPr>
            <w:r w:rsidRPr="006148EC">
              <w:rPr>
                <w:lang w:val="en-IN"/>
              </w:rPr>
              <w:t>Rationale</w:t>
            </w:r>
          </w:p>
        </w:tc>
      </w:tr>
      <w:tr w:rsidR="006148EC" w:rsidRPr="006148EC" w14:paraId="570324C8" w14:textId="77777777" w:rsidTr="00E34B5B">
        <w:trPr>
          <w:trHeight w:val="3261"/>
        </w:trPr>
        <w:tc>
          <w:tcPr>
            <w:tcW w:w="2184" w:type="dxa"/>
            <w:shd w:val="clear" w:color="auto" w:fill="F8FAFD"/>
            <w:tcMar>
              <w:top w:w="120" w:type="dxa"/>
              <w:left w:w="180" w:type="dxa"/>
              <w:bottom w:w="120" w:type="dxa"/>
              <w:right w:w="180" w:type="dxa"/>
            </w:tcMar>
          </w:tcPr>
          <w:p w14:paraId="33AD1E7C" w14:textId="77777777" w:rsidR="006148EC" w:rsidRPr="006148EC" w:rsidRDefault="006148EC" w:rsidP="00E34B5B">
            <w:pPr>
              <w:pStyle w:val="BodyText"/>
              <w:spacing w:before="0" w:line="276" w:lineRule="auto"/>
              <w:ind w:left="360" w:right="352"/>
              <w:jc w:val="left"/>
              <w:rPr>
                <w:b/>
                <w:lang w:val="en-IN"/>
              </w:rPr>
            </w:pPr>
            <w:r w:rsidRPr="006148EC">
              <w:rPr>
                <w:b/>
                <w:lang w:val="en-IN"/>
              </w:rPr>
              <w:t>1</w:t>
            </w:r>
          </w:p>
        </w:tc>
        <w:tc>
          <w:tcPr>
            <w:tcW w:w="2184" w:type="dxa"/>
            <w:shd w:val="clear" w:color="auto" w:fill="F8FAFD"/>
            <w:tcMar>
              <w:top w:w="120" w:type="dxa"/>
              <w:left w:w="180" w:type="dxa"/>
              <w:bottom w:w="120" w:type="dxa"/>
              <w:right w:w="180" w:type="dxa"/>
            </w:tcMar>
          </w:tcPr>
          <w:p w14:paraId="13773DA9" w14:textId="77777777" w:rsidR="006148EC" w:rsidRPr="006148EC" w:rsidRDefault="006148EC" w:rsidP="00E34B5B">
            <w:pPr>
              <w:pStyle w:val="BodyText"/>
              <w:spacing w:before="0" w:line="276" w:lineRule="auto"/>
              <w:ind w:left="360" w:right="352"/>
              <w:jc w:val="left"/>
              <w:rPr>
                <w:b/>
                <w:lang w:val="en-IN"/>
              </w:rPr>
            </w:pPr>
            <w:r w:rsidRPr="006148EC">
              <w:rPr>
                <w:b/>
                <w:lang w:val="en-IN"/>
              </w:rPr>
              <w:t>Water Resource Carrying Capacity (C1)</w:t>
            </w:r>
          </w:p>
        </w:tc>
        <w:tc>
          <w:tcPr>
            <w:tcW w:w="2184" w:type="dxa"/>
            <w:shd w:val="clear" w:color="auto" w:fill="F8FAFD"/>
            <w:tcMar>
              <w:top w:w="120" w:type="dxa"/>
              <w:left w:w="180" w:type="dxa"/>
              <w:bottom w:w="120" w:type="dxa"/>
              <w:right w:w="180" w:type="dxa"/>
            </w:tcMar>
          </w:tcPr>
          <w:p w14:paraId="6085423A" w14:textId="77777777" w:rsidR="006148EC" w:rsidRPr="006148EC" w:rsidRDefault="006148EC" w:rsidP="00E34B5B">
            <w:pPr>
              <w:pStyle w:val="BodyText"/>
              <w:spacing w:before="0" w:line="276" w:lineRule="auto"/>
              <w:ind w:left="360" w:right="352"/>
              <w:jc w:val="left"/>
              <w:rPr>
                <w:lang w:val="en-IN"/>
              </w:rPr>
            </w:pPr>
            <w:r w:rsidRPr="006148EC">
              <w:rPr>
                <w:lang w:val="en-IN"/>
              </w:rPr>
              <w:t>Natural-Ecological</w:t>
            </w:r>
          </w:p>
        </w:tc>
        <w:tc>
          <w:tcPr>
            <w:tcW w:w="1992" w:type="dxa"/>
            <w:shd w:val="clear" w:color="auto" w:fill="F8FAFD"/>
            <w:tcMar>
              <w:top w:w="120" w:type="dxa"/>
              <w:left w:w="180" w:type="dxa"/>
              <w:bottom w:w="120" w:type="dxa"/>
              <w:right w:w="180" w:type="dxa"/>
            </w:tcMar>
          </w:tcPr>
          <w:p w14:paraId="734A8FFF" w14:textId="77777777" w:rsidR="006148EC" w:rsidRPr="006148EC" w:rsidRDefault="006148EC" w:rsidP="00E34B5B">
            <w:pPr>
              <w:pStyle w:val="BodyText"/>
              <w:spacing w:before="0" w:line="276" w:lineRule="auto"/>
              <w:ind w:left="360" w:right="352"/>
              <w:jc w:val="left"/>
              <w:rPr>
                <w:b/>
                <w:lang w:val="en-IN"/>
              </w:rPr>
            </w:pPr>
            <w:r w:rsidRPr="006148EC">
              <w:rPr>
                <w:b/>
                <w:lang w:val="en-IN"/>
              </w:rPr>
              <w:t>0.065</w:t>
            </w:r>
          </w:p>
        </w:tc>
        <w:tc>
          <w:tcPr>
            <w:tcW w:w="2376" w:type="dxa"/>
            <w:shd w:val="clear" w:color="auto" w:fill="F8FAFD"/>
            <w:tcMar>
              <w:top w:w="120" w:type="dxa"/>
              <w:left w:w="180" w:type="dxa"/>
              <w:bottom w:w="120" w:type="dxa"/>
              <w:right w:w="180" w:type="dxa"/>
            </w:tcMar>
          </w:tcPr>
          <w:p w14:paraId="0E831D2E" w14:textId="77777777" w:rsidR="006148EC" w:rsidRPr="006148EC" w:rsidRDefault="006148EC" w:rsidP="00E34B5B">
            <w:pPr>
              <w:pStyle w:val="BodyText"/>
              <w:spacing w:before="0" w:line="276" w:lineRule="auto"/>
              <w:ind w:left="360" w:right="352"/>
              <w:jc w:val="left"/>
              <w:rPr>
                <w:lang w:val="en-IN"/>
              </w:rPr>
            </w:pPr>
            <w:r w:rsidRPr="006148EC">
              <w:rPr>
                <w:lang w:val="en-IN"/>
              </w:rPr>
              <w:t xml:space="preserve">High weight + Low average score in arid region </w:t>
            </w:r>
            <w:r w:rsidRPr="006148EC">
              <w:rPr>
                <w:b/>
                <w:lang w:val="en-IN"/>
              </w:rPr>
              <w:t>is associated with</w:t>
            </w:r>
            <w:r w:rsidRPr="006148EC">
              <w:rPr>
                <w:lang w:val="en-IN"/>
              </w:rPr>
              <w:t xml:space="preserve"> a major bottleneck [57].</w:t>
            </w:r>
          </w:p>
        </w:tc>
      </w:tr>
      <w:tr w:rsidR="006148EC" w:rsidRPr="006148EC" w14:paraId="47EC4D59" w14:textId="77777777" w:rsidTr="00E34B5B">
        <w:trPr>
          <w:trHeight w:val="312"/>
        </w:trPr>
        <w:tc>
          <w:tcPr>
            <w:tcW w:w="2184" w:type="dxa"/>
            <w:shd w:val="clear" w:color="auto" w:fill="F8FAFD"/>
            <w:tcMar>
              <w:top w:w="120" w:type="dxa"/>
              <w:left w:w="180" w:type="dxa"/>
              <w:bottom w:w="120" w:type="dxa"/>
              <w:right w:w="180" w:type="dxa"/>
            </w:tcMar>
          </w:tcPr>
          <w:p w14:paraId="2EA6F9E7" w14:textId="77777777" w:rsidR="006148EC" w:rsidRPr="006148EC" w:rsidRDefault="006148EC" w:rsidP="00E34B5B">
            <w:pPr>
              <w:pStyle w:val="BodyText"/>
              <w:spacing w:before="0" w:line="276" w:lineRule="auto"/>
              <w:ind w:left="360" w:right="352"/>
              <w:jc w:val="left"/>
              <w:rPr>
                <w:b/>
                <w:lang w:val="en-IN"/>
              </w:rPr>
            </w:pPr>
            <w:r w:rsidRPr="006148EC">
              <w:rPr>
                <w:b/>
                <w:lang w:val="en-IN"/>
              </w:rPr>
              <w:t>2</w:t>
            </w:r>
          </w:p>
        </w:tc>
        <w:tc>
          <w:tcPr>
            <w:tcW w:w="2184" w:type="dxa"/>
            <w:shd w:val="clear" w:color="auto" w:fill="F8FAFD"/>
            <w:tcMar>
              <w:top w:w="120" w:type="dxa"/>
              <w:left w:w="180" w:type="dxa"/>
              <w:bottom w:w="120" w:type="dxa"/>
              <w:right w:w="180" w:type="dxa"/>
            </w:tcMar>
          </w:tcPr>
          <w:p w14:paraId="56CDE650" w14:textId="77777777" w:rsidR="006148EC" w:rsidRPr="006148EC" w:rsidRDefault="006148EC" w:rsidP="00E34B5B">
            <w:pPr>
              <w:pStyle w:val="BodyText"/>
              <w:spacing w:before="0" w:line="276" w:lineRule="auto"/>
              <w:ind w:left="360" w:right="352"/>
              <w:jc w:val="left"/>
              <w:rPr>
                <w:b/>
                <w:lang w:val="en-IN"/>
              </w:rPr>
            </w:pP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p>
        </w:tc>
        <w:tc>
          <w:tcPr>
            <w:tcW w:w="2184" w:type="dxa"/>
            <w:shd w:val="clear" w:color="auto" w:fill="F8FAFD"/>
            <w:tcMar>
              <w:top w:w="120" w:type="dxa"/>
              <w:left w:w="180" w:type="dxa"/>
              <w:bottom w:w="120" w:type="dxa"/>
              <w:right w:w="180" w:type="dxa"/>
            </w:tcMar>
          </w:tcPr>
          <w:p w14:paraId="34096B45" w14:textId="77777777" w:rsidR="006148EC" w:rsidRPr="006148EC" w:rsidRDefault="006148EC" w:rsidP="00E34B5B">
            <w:pPr>
              <w:pStyle w:val="BodyText"/>
              <w:spacing w:before="0" w:line="276" w:lineRule="auto"/>
              <w:ind w:left="360" w:right="352"/>
              <w:jc w:val="left"/>
              <w:rPr>
                <w:lang w:val="en-IN"/>
              </w:rPr>
            </w:pPr>
            <w:r w:rsidRPr="006148EC">
              <w:rPr>
                <w:lang w:val="en-IN"/>
              </w:rPr>
              <w:t>Socio-Economic</w:t>
            </w:r>
          </w:p>
        </w:tc>
        <w:tc>
          <w:tcPr>
            <w:tcW w:w="1992" w:type="dxa"/>
            <w:shd w:val="clear" w:color="auto" w:fill="F8FAFD"/>
            <w:tcMar>
              <w:top w:w="120" w:type="dxa"/>
              <w:left w:w="180" w:type="dxa"/>
              <w:bottom w:w="120" w:type="dxa"/>
              <w:right w:w="180" w:type="dxa"/>
            </w:tcMar>
          </w:tcPr>
          <w:p w14:paraId="68651898" w14:textId="77777777" w:rsidR="006148EC" w:rsidRPr="006148EC" w:rsidRDefault="006148EC" w:rsidP="00E34B5B">
            <w:pPr>
              <w:pStyle w:val="BodyText"/>
              <w:spacing w:before="0" w:line="276" w:lineRule="auto"/>
              <w:ind w:left="360" w:right="352"/>
              <w:jc w:val="left"/>
              <w:rPr>
                <w:b/>
                <w:lang w:val="en-IN"/>
              </w:rPr>
            </w:pPr>
            <w:r w:rsidRPr="006148EC">
              <w:rPr>
                <w:b/>
                <w:lang w:val="en-IN"/>
              </w:rPr>
              <w:t>0.058</w:t>
            </w:r>
          </w:p>
        </w:tc>
        <w:tc>
          <w:tcPr>
            <w:tcW w:w="2376" w:type="dxa"/>
            <w:shd w:val="clear" w:color="auto" w:fill="F8FAFD"/>
            <w:tcMar>
              <w:top w:w="120" w:type="dxa"/>
              <w:left w:w="180" w:type="dxa"/>
              <w:bottom w:w="120" w:type="dxa"/>
              <w:right w:w="180" w:type="dxa"/>
            </w:tcMar>
          </w:tcPr>
          <w:p w14:paraId="096D79F4" w14:textId="77777777" w:rsidR="006148EC" w:rsidRPr="006148EC" w:rsidRDefault="006148EC" w:rsidP="00E34B5B">
            <w:pPr>
              <w:pStyle w:val="BodyText"/>
              <w:spacing w:before="0" w:line="276" w:lineRule="auto"/>
              <w:ind w:left="360" w:right="352"/>
              <w:jc w:val="left"/>
              <w:rPr>
                <w:lang w:val="en-IN"/>
              </w:rPr>
            </w:pPr>
            <w:r w:rsidRPr="006148EC">
              <w:rPr>
                <w:lang w:val="en-IN"/>
              </w:rPr>
              <w:t xml:space="preserve">High weight + concentration of sites far from </w:t>
            </w:r>
            <w:r w:rsidRPr="006148EC">
              <w:rPr>
                <w:lang w:val="en-IN"/>
              </w:rPr>
              <w:lastRenderedPageBreak/>
              <w:t xml:space="preserve">industrial/commercial hubs </w:t>
            </w:r>
            <w:r w:rsidRPr="006148EC">
              <w:rPr>
                <w:b/>
                <w:lang w:val="en-IN"/>
              </w:rPr>
              <w:t>is associated with</w:t>
            </w:r>
            <w:r w:rsidRPr="006148EC">
              <w:rPr>
                <w:lang w:val="en-IN"/>
              </w:rPr>
              <w:t xml:space="preserve"> livelihood risk [10].</w:t>
            </w:r>
          </w:p>
        </w:tc>
      </w:tr>
      <w:tr w:rsidR="006148EC" w:rsidRPr="006148EC" w14:paraId="04C5A5E2" w14:textId="77777777" w:rsidTr="00E34B5B">
        <w:trPr>
          <w:trHeight w:val="139"/>
        </w:trPr>
        <w:tc>
          <w:tcPr>
            <w:tcW w:w="2184" w:type="dxa"/>
            <w:shd w:val="clear" w:color="auto" w:fill="F8FAFD"/>
            <w:tcMar>
              <w:top w:w="120" w:type="dxa"/>
              <w:left w:w="180" w:type="dxa"/>
              <w:bottom w:w="120" w:type="dxa"/>
              <w:right w:w="180" w:type="dxa"/>
            </w:tcMar>
          </w:tcPr>
          <w:p w14:paraId="4F6022A7" w14:textId="77777777" w:rsidR="006148EC" w:rsidRPr="006148EC" w:rsidRDefault="006148EC" w:rsidP="00E34B5B">
            <w:pPr>
              <w:pStyle w:val="BodyText"/>
              <w:spacing w:before="0" w:line="276" w:lineRule="auto"/>
              <w:ind w:left="360" w:right="352"/>
              <w:jc w:val="left"/>
              <w:rPr>
                <w:b/>
                <w:lang w:val="en-IN"/>
              </w:rPr>
            </w:pPr>
            <w:r w:rsidRPr="006148EC">
              <w:rPr>
                <w:b/>
                <w:lang w:val="en-IN"/>
              </w:rPr>
              <w:lastRenderedPageBreak/>
              <w:t>3</w:t>
            </w:r>
          </w:p>
        </w:tc>
        <w:tc>
          <w:tcPr>
            <w:tcW w:w="2184" w:type="dxa"/>
            <w:shd w:val="clear" w:color="auto" w:fill="F8FAFD"/>
            <w:tcMar>
              <w:top w:w="120" w:type="dxa"/>
              <w:left w:w="180" w:type="dxa"/>
              <w:bottom w:w="120" w:type="dxa"/>
              <w:right w:w="180" w:type="dxa"/>
            </w:tcMar>
          </w:tcPr>
          <w:p w14:paraId="361E39E9" w14:textId="77777777" w:rsidR="006148EC" w:rsidRPr="006148EC" w:rsidRDefault="006148EC" w:rsidP="00E34B5B">
            <w:pPr>
              <w:pStyle w:val="BodyText"/>
              <w:spacing w:before="0" w:line="276" w:lineRule="auto"/>
              <w:ind w:left="360" w:right="352"/>
              <w:jc w:val="left"/>
              <w:rPr>
                <w:b/>
                <w:lang w:val="en-IN"/>
              </w:rPr>
            </w:pPr>
            <w:r w:rsidRPr="006148EC">
              <w:rPr>
                <w:b/>
                <w:lang w:val="en-IN"/>
              </w:rPr>
              <w:t>Local Economic Diversity Index (C6)</w:t>
            </w:r>
          </w:p>
        </w:tc>
        <w:tc>
          <w:tcPr>
            <w:tcW w:w="2184" w:type="dxa"/>
            <w:shd w:val="clear" w:color="auto" w:fill="F8FAFD"/>
            <w:tcMar>
              <w:top w:w="120" w:type="dxa"/>
              <w:left w:w="180" w:type="dxa"/>
              <w:bottom w:w="120" w:type="dxa"/>
              <w:right w:w="180" w:type="dxa"/>
            </w:tcMar>
          </w:tcPr>
          <w:p w14:paraId="40A05FEF" w14:textId="77777777" w:rsidR="006148EC" w:rsidRPr="006148EC" w:rsidRDefault="006148EC" w:rsidP="00E34B5B">
            <w:pPr>
              <w:pStyle w:val="BodyText"/>
              <w:spacing w:before="0" w:line="276" w:lineRule="auto"/>
              <w:ind w:left="360" w:right="352"/>
              <w:jc w:val="left"/>
              <w:rPr>
                <w:lang w:val="en-IN"/>
              </w:rPr>
            </w:pPr>
            <w:r w:rsidRPr="006148EC">
              <w:rPr>
                <w:lang w:val="en-IN"/>
              </w:rPr>
              <w:t>Socio-Economic</w:t>
            </w:r>
          </w:p>
        </w:tc>
        <w:tc>
          <w:tcPr>
            <w:tcW w:w="1992" w:type="dxa"/>
            <w:shd w:val="clear" w:color="auto" w:fill="F8FAFD"/>
            <w:tcMar>
              <w:top w:w="120" w:type="dxa"/>
              <w:left w:w="180" w:type="dxa"/>
              <w:bottom w:w="120" w:type="dxa"/>
              <w:right w:w="180" w:type="dxa"/>
            </w:tcMar>
          </w:tcPr>
          <w:p w14:paraId="638D27D1" w14:textId="77777777" w:rsidR="006148EC" w:rsidRPr="006148EC" w:rsidRDefault="006148EC" w:rsidP="00E34B5B">
            <w:pPr>
              <w:pStyle w:val="BodyText"/>
              <w:spacing w:before="0" w:line="276" w:lineRule="auto"/>
              <w:ind w:left="360" w:right="352"/>
              <w:jc w:val="left"/>
              <w:rPr>
                <w:b/>
                <w:lang w:val="en-IN"/>
              </w:rPr>
            </w:pPr>
            <w:r w:rsidRPr="006148EC">
              <w:rPr>
                <w:b/>
                <w:lang w:val="en-IN"/>
              </w:rPr>
              <w:t>0.041</w:t>
            </w:r>
          </w:p>
        </w:tc>
        <w:tc>
          <w:tcPr>
            <w:tcW w:w="2376" w:type="dxa"/>
            <w:shd w:val="clear" w:color="auto" w:fill="F8FAFD"/>
            <w:tcMar>
              <w:top w:w="120" w:type="dxa"/>
              <w:left w:w="180" w:type="dxa"/>
              <w:bottom w:w="120" w:type="dxa"/>
              <w:right w:w="180" w:type="dxa"/>
            </w:tcMar>
          </w:tcPr>
          <w:p w14:paraId="393D6E85" w14:textId="77777777" w:rsidR="006148EC" w:rsidRPr="006148EC" w:rsidRDefault="006148EC" w:rsidP="00E34B5B">
            <w:pPr>
              <w:pStyle w:val="BodyText"/>
              <w:spacing w:before="0" w:line="276" w:lineRule="auto"/>
              <w:ind w:left="360" w:right="352"/>
              <w:jc w:val="left"/>
              <w:rPr>
                <w:lang w:val="en-IN"/>
              </w:rPr>
            </w:pPr>
            <w:r w:rsidRPr="006148EC">
              <w:rPr>
                <w:lang w:val="en-IN"/>
              </w:rPr>
              <w:t>New communities often lack an economic engine, resulting in single, unstable income sources [15].</w:t>
            </w:r>
          </w:p>
        </w:tc>
      </w:tr>
      <w:tr w:rsidR="006148EC" w:rsidRPr="006148EC" w14:paraId="3227E81C" w14:textId="77777777" w:rsidTr="00E34B5B">
        <w:trPr>
          <w:trHeight w:val="2163"/>
        </w:trPr>
        <w:tc>
          <w:tcPr>
            <w:tcW w:w="2184" w:type="dxa"/>
            <w:shd w:val="clear" w:color="auto" w:fill="F8FAFD"/>
            <w:tcMar>
              <w:top w:w="120" w:type="dxa"/>
              <w:left w:w="180" w:type="dxa"/>
              <w:bottom w:w="120" w:type="dxa"/>
              <w:right w:w="180" w:type="dxa"/>
            </w:tcMar>
          </w:tcPr>
          <w:p w14:paraId="2D79801B" w14:textId="77777777" w:rsidR="006148EC" w:rsidRPr="006148EC" w:rsidRDefault="006148EC" w:rsidP="00E34B5B">
            <w:pPr>
              <w:pStyle w:val="BodyText"/>
              <w:spacing w:before="0" w:line="276" w:lineRule="auto"/>
              <w:ind w:left="360" w:right="352"/>
              <w:jc w:val="left"/>
              <w:rPr>
                <w:b/>
                <w:lang w:val="en-IN"/>
              </w:rPr>
            </w:pPr>
            <w:r w:rsidRPr="006148EC">
              <w:rPr>
                <w:b/>
                <w:lang w:val="en-IN"/>
              </w:rPr>
              <w:t>4</w:t>
            </w:r>
          </w:p>
        </w:tc>
        <w:tc>
          <w:tcPr>
            <w:tcW w:w="2184" w:type="dxa"/>
            <w:shd w:val="clear" w:color="auto" w:fill="F8FAFD"/>
            <w:tcMar>
              <w:top w:w="120" w:type="dxa"/>
              <w:left w:w="180" w:type="dxa"/>
              <w:bottom w:w="120" w:type="dxa"/>
              <w:right w:w="180" w:type="dxa"/>
            </w:tcMar>
          </w:tcPr>
          <w:p w14:paraId="29345DB5" w14:textId="77777777" w:rsidR="006148EC" w:rsidRPr="006148EC" w:rsidRDefault="006148EC" w:rsidP="00E34B5B">
            <w:pPr>
              <w:pStyle w:val="BodyText"/>
              <w:spacing w:before="0" w:line="276" w:lineRule="auto"/>
              <w:ind w:left="360" w:right="352"/>
              <w:jc w:val="left"/>
              <w:rPr>
                <w:b/>
                <w:lang w:val="en-IN"/>
              </w:rPr>
            </w:pPr>
            <w:r w:rsidRPr="006148EC">
              <w:rPr>
                <w:b/>
                <w:lang w:val="en-IN"/>
              </w:rPr>
              <w:t>Public Transit Availability (C14)</w:t>
            </w:r>
          </w:p>
        </w:tc>
        <w:tc>
          <w:tcPr>
            <w:tcW w:w="2184" w:type="dxa"/>
            <w:shd w:val="clear" w:color="auto" w:fill="F8FAFD"/>
            <w:tcMar>
              <w:top w:w="120" w:type="dxa"/>
              <w:left w:w="180" w:type="dxa"/>
              <w:bottom w:w="120" w:type="dxa"/>
              <w:right w:w="180" w:type="dxa"/>
            </w:tcMar>
          </w:tcPr>
          <w:p w14:paraId="58FBB0AF" w14:textId="77777777" w:rsidR="006148EC" w:rsidRPr="006148EC" w:rsidRDefault="006148EC" w:rsidP="00E34B5B">
            <w:pPr>
              <w:pStyle w:val="BodyText"/>
              <w:spacing w:before="0" w:line="276" w:lineRule="auto"/>
              <w:ind w:left="360" w:right="352"/>
              <w:jc w:val="left"/>
              <w:rPr>
                <w:lang w:val="en-IN"/>
              </w:rPr>
            </w:pPr>
            <w:r w:rsidRPr="006148EC">
              <w:rPr>
                <w:lang w:val="en-IN"/>
              </w:rPr>
              <w:t>Location-Accessibility</w:t>
            </w:r>
          </w:p>
        </w:tc>
        <w:tc>
          <w:tcPr>
            <w:tcW w:w="1992" w:type="dxa"/>
            <w:shd w:val="clear" w:color="auto" w:fill="F8FAFD"/>
            <w:tcMar>
              <w:top w:w="120" w:type="dxa"/>
              <w:left w:w="180" w:type="dxa"/>
              <w:bottom w:w="120" w:type="dxa"/>
              <w:right w:w="180" w:type="dxa"/>
            </w:tcMar>
          </w:tcPr>
          <w:p w14:paraId="4AB611CD" w14:textId="77777777" w:rsidR="006148EC" w:rsidRPr="006148EC" w:rsidRDefault="006148EC" w:rsidP="00E34B5B">
            <w:pPr>
              <w:pStyle w:val="BodyText"/>
              <w:spacing w:before="0" w:line="276" w:lineRule="auto"/>
              <w:ind w:left="360" w:right="352"/>
              <w:jc w:val="left"/>
              <w:rPr>
                <w:b/>
                <w:lang w:val="en-IN"/>
              </w:rPr>
            </w:pPr>
            <w:r w:rsidRPr="006148EC">
              <w:rPr>
                <w:b/>
                <w:lang w:val="en-IN"/>
              </w:rPr>
              <w:t>0.035</w:t>
            </w:r>
          </w:p>
        </w:tc>
        <w:tc>
          <w:tcPr>
            <w:tcW w:w="2376" w:type="dxa"/>
            <w:shd w:val="clear" w:color="auto" w:fill="F8FAFD"/>
            <w:tcMar>
              <w:top w:w="120" w:type="dxa"/>
              <w:left w:w="180" w:type="dxa"/>
              <w:bottom w:w="120" w:type="dxa"/>
              <w:right w:w="180" w:type="dxa"/>
            </w:tcMar>
          </w:tcPr>
          <w:p w14:paraId="45D5B259" w14:textId="77777777" w:rsidR="006148EC" w:rsidRPr="006148EC" w:rsidRDefault="006148EC" w:rsidP="00E34B5B">
            <w:pPr>
              <w:pStyle w:val="BodyText"/>
              <w:spacing w:before="0" w:line="276" w:lineRule="auto"/>
              <w:ind w:left="360" w:right="352"/>
              <w:jc w:val="left"/>
              <w:rPr>
                <w:lang w:val="en-IN"/>
              </w:rPr>
            </w:pPr>
            <w:r w:rsidRPr="006148EC">
              <w:rPr>
                <w:lang w:val="en-IN"/>
              </w:rPr>
              <w:t>Crucial for connecting residents to off-site services and jobs [49].</w:t>
            </w:r>
          </w:p>
        </w:tc>
      </w:tr>
      <w:tr w:rsidR="006148EC" w:rsidRPr="006148EC" w14:paraId="48EAB345" w14:textId="77777777" w:rsidTr="00E34B5B">
        <w:trPr>
          <w:trHeight w:val="2559"/>
        </w:trPr>
        <w:tc>
          <w:tcPr>
            <w:tcW w:w="2184" w:type="dxa"/>
            <w:shd w:val="clear" w:color="auto" w:fill="F8FAFD"/>
            <w:tcMar>
              <w:top w:w="120" w:type="dxa"/>
              <w:left w:w="180" w:type="dxa"/>
              <w:bottom w:w="120" w:type="dxa"/>
              <w:right w:w="180" w:type="dxa"/>
            </w:tcMar>
          </w:tcPr>
          <w:p w14:paraId="4000439A" w14:textId="77777777" w:rsidR="006148EC" w:rsidRPr="006148EC" w:rsidRDefault="006148EC" w:rsidP="006148EC">
            <w:pPr>
              <w:pStyle w:val="BodyText"/>
              <w:spacing w:before="0" w:line="276" w:lineRule="auto"/>
              <w:ind w:left="360" w:right="352"/>
              <w:rPr>
                <w:b/>
                <w:lang w:val="en-IN"/>
              </w:rPr>
            </w:pPr>
            <w:r w:rsidRPr="006148EC">
              <w:rPr>
                <w:b/>
                <w:lang w:val="en-IN"/>
              </w:rPr>
              <w:t>5</w:t>
            </w:r>
          </w:p>
        </w:tc>
        <w:tc>
          <w:tcPr>
            <w:tcW w:w="2184" w:type="dxa"/>
            <w:shd w:val="clear" w:color="auto" w:fill="F8FAFD"/>
            <w:tcMar>
              <w:top w:w="120" w:type="dxa"/>
              <w:left w:w="180" w:type="dxa"/>
              <w:bottom w:w="120" w:type="dxa"/>
              <w:right w:w="180" w:type="dxa"/>
            </w:tcMar>
          </w:tcPr>
          <w:p w14:paraId="652E4515" w14:textId="77777777" w:rsidR="006148EC" w:rsidRPr="006148EC" w:rsidRDefault="006148EC" w:rsidP="006148EC">
            <w:pPr>
              <w:pStyle w:val="BodyText"/>
              <w:spacing w:before="0" w:line="276" w:lineRule="auto"/>
              <w:ind w:left="360" w:right="352"/>
              <w:rPr>
                <w:b/>
                <w:lang w:val="en-IN"/>
              </w:rPr>
            </w:pPr>
            <w:r w:rsidRPr="006148EC">
              <w:rPr>
                <w:b/>
                <w:lang w:val="en-IN"/>
              </w:rPr>
              <w:t>Availability of Vocational Training (C7)</w:t>
            </w:r>
          </w:p>
        </w:tc>
        <w:tc>
          <w:tcPr>
            <w:tcW w:w="2184" w:type="dxa"/>
            <w:shd w:val="clear" w:color="auto" w:fill="F8FAFD"/>
            <w:tcMar>
              <w:top w:w="120" w:type="dxa"/>
              <w:left w:w="180" w:type="dxa"/>
              <w:bottom w:w="120" w:type="dxa"/>
              <w:right w:w="180" w:type="dxa"/>
            </w:tcMar>
          </w:tcPr>
          <w:p w14:paraId="3B1D242D" w14:textId="77777777" w:rsidR="006148EC" w:rsidRPr="006148EC" w:rsidRDefault="006148EC" w:rsidP="006148EC">
            <w:pPr>
              <w:pStyle w:val="BodyText"/>
              <w:spacing w:before="0" w:line="276" w:lineRule="auto"/>
              <w:ind w:left="360" w:right="352"/>
              <w:rPr>
                <w:lang w:val="en-IN"/>
              </w:rPr>
            </w:pPr>
            <w:r w:rsidRPr="006148EC">
              <w:rPr>
                <w:lang w:val="en-IN"/>
              </w:rPr>
              <w:t>Socio-Economic</w:t>
            </w:r>
          </w:p>
        </w:tc>
        <w:tc>
          <w:tcPr>
            <w:tcW w:w="1992" w:type="dxa"/>
            <w:shd w:val="clear" w:color="auto" w:fill="F8FAFD"/>
            <w:tcMar>
              <w:top w:w="120" w:type="dxa"/>
              <w:left w:w="180" w:type="dxa"/>
              <w:bottom w:w="120" w:type="dxa"/>
              <w:right w:w="180" w:type="dxa"/>
            </w:tcMar>
          </w:tcPr>
          <w:p w14:paraId="68019B40" w14:textId="77777777" w:rsidR="006148EC" w:rsidRPr="006148EC" w:rsidRDefault="006148EC" w:rsidP="006148EC">
            <w:pPr>
              <w:pStyle w:val="BodyText"/>
              <w:spacing w:before="0" w:line="276" w:lineRule="auto"/>
              <w:ind w:left="360" w:right="352"/>
              <w:rPr>
                <w:b/>
                <w:lang w:val="en-IN"/>
              </w:rPr>
            </w:pPr>
            <w:r w:rsidRPr="006148EC">
              <w:rPr>
                <w:b/>
                <w:lang w:val="en-IN"/>
              </w:rPr>
              <w:t>0.029</w:t>
            </w:r>
          </w:p>
        </w:tc>
        <w:tc>
          <w:tcPr>
            <w:tcW w:w="2376" w:type="dxa"/>
            <w:shd w:val="clear" w:color="auto" w:fill="F8FAFD"/>
            <w:tcMar>
              <w:top w:w="120" w:type="dxa"/>
              <w:left w:w="180" w:type="dxa"/>
              <w:bottom w:w="120" w:type="dxa"/>
              <w:right w:w="180" w:type="dxa"/>
            </w:tcMar>
          </w:tcPr>
          <w:p w14:paraId="20ADDC57" w14:textId="77777777" w:rsidR="006148EC" w:rsidRPr="006148EC" w:rsidRDefault="006148EC" w:rsidP="006148EC">
            <w:pPr>
              <w:pStyle w:val="BodyText"/>
              <w:spacing w:before="0" w:line="276" w:lineRule="auto"/>
              <w:ind w:left="360" w:right="352"/>
              <w:rPr>
                <w:lang w:val="en-IN"/>
              </w:rPr>
            </w:pPr>
            <w:r w:rsidRPr="006148EC">
              <w:rPr>
                <w:lang w:val="en-IN"/>
              </w:rPr>
              <w:t>Inadequate support for re-skilling agricultural workers for urban/service jobs [24].</w:t>
            </w:r>
          </w:p>
        </w:tc>
      </w:tr>
    </w:tbl>
    <w:p w14:paraId="5BDA74E8" w14:textId="77777777" w:rsidR="00E34B5B" w:rsidRDefault="00E34B5B" w:rsidP="00314657">
      <w:pPr>
        <w:pStyle w:val="BodyText"/>
        <w:spacing w:before="0" w:line="276" w:lineRule="auto"/>
        <w:ind w:left="360" w:right="352"/>
        <w:rPr>
          <w:lang w:val="en-IN"/>
        </w:rPr>
      </w:pPr>
    </w:p>
    <w:p w14:paraId="79FB107D" w14:textId="7AB3B959" w:rsidR="006148EC" w:rsidRPr="006148EC" w:rsidRDefault="006148EC" w:rsidP="00314657">
      <w:pPr>
        <w:pStyle w:val="BodyText"/>
        <w:spacing w:before="0" w:line="276" w:lineRule="auto"/>
        <w:ind w:left="360" w:right="352"/>
        <w:rPr>
          <w:lang w:val="en-IN"/>
        </w:rPr>
      </w:pPr>
      <w:r w:rsidRPr="006148EC">
        <w:rPr>
          <w:lang w:val="en-IN"/>
        </w:rPr>
        <w:t xml:space="preserve">This diagnosis clearly shows that the most significant policy bottlenecks are related to </w:t>
      </w:r>
      <w:r w:rsidRPr="006148EC">
        <w:rPr>
          <w:b/>
          <w:lang w:val="en-IN"/>
        </w:rPr>
        <w:t>resources (Water)</w:t>
      </w:r>
      <w:r w:rsidRPr="006148EC">
        <w:rPr>
          <w:lang w:val="en-IN"/>
        </w:rPr>
        <w:t xml:space="preserve"> and </w:t>
      </w:r>
      <w:r w:rsidRPr="006148EC">
        <w:rPr>
          <w:b/>
          <w:lang w:val="en-IN"/>
        </w:rPr>
        <w:t>economic opportunity (Employment/Diversity)</w:t>
      </w:r>
      <w:r w:rsidRPr="006148EC">
        <w:rPr>
          <w:lang w:val="en-IN"/>
        </w:rPr>
        <w:t xml:space="preserve">. The planning phase prioritizes relocation, but the follow-up support—the resources and capacity-building required for new </w:t>
      </w:r>
      <w:r w:rsidRPr="006148EC">
        <w:rPr>
          <w:lang w:val="en-IN"/>
        </w:rPr>
        <w:lastRenderedPageBreak/>
        <w:t>livelihoods—is systematically under-addressed.</w:t>
      </w:r>
    </w:p>
    <w:p w14:paraId="3C8515F9" w14:textId="5504C5A2" w:rsidR="006148EC" w:rsidRPr="006148EC" w:rsidRDefault="006148EC" w:rsidP="00314657">
      <w:pPr>
        <w:pStyle w:val="BodyText"/>
        <w:spacing w:line="276" w:lineRule="auto"/>
        <w:ind w:left="360" w:right="352"/>
        <w:rPr>
          <w:b/>
          <w:lang w:val="en-IN"/>
        </w:rPr>
      </w:pPr>
      <w:r w:rsidRPr="006148EC">
        <w:rPr>
          <w:b/>
          <w:lang w:val="en-IN"/>
        </w:rPr>
        <w:t>Spatial Heterogeneity Analysis (LISA)</w:t>
      </w:r>
    </w:p>
    <w:p w14:paraId="58A8BE7B" w14:textId="77777777" w:rsidR="006148EC" w:rsidRPr="006148EC" w:rsidRDefault="006148EC" w:rsidP="006148EC">
      <w:pPr>
        <w:pStyle w:val="BodyText"/>
        <w:spacing w:line="276" w:lineRule="auto"/>
        <w:ind w:left="360" w:right="352"/>
        <w:rPr>
          <w:lang w:val="en-IN"/>
        </w:rPr>
      </w:pPr>
      <w:r w:rsidRPr="006148EC">
        <w:rPr>
          <w:lang w:val="en-IN"/>
        </w:rPr>
        <w:t>The LISA analysis revealed significant clustering of suitability.</w:t>
      </w:r>
    </w:p>
    <w:p w14:paraId="5CA06A65" w14:textId="77777777" w:rsidR="006148EC" w:rsidRPr="006148EC" w:rsidRDefault="006148EC" w:rsidP="006148EC">
      <w:pPr>
        <w:pStyle w:val="BodyText"/>
        <w:numPr>
          <w:ilvl w:val="0"/>
          <w:numId w:val="10"/>
        </w:numPr>
        <w:spacing w:line="276" w:lineRule="auto"/>
        <w:ind w:right="352"/>
        <w:rPr>
          <w:lang w:val="en-IN"/>
        </w:rPr>
      </w:pPr>
      <w:r w:rsidRPr="006148EC">
        <w:rPr>
          <w:b/>
          <w:lang w:val="en-IN"/>
        </w:rPr>
        <w:t>High-High Clusters:</w:t>
      </w:r>
      <w:r w:rsidRPr="006148EC">
        <w:rPr>
          <w:lang w:val="en-IN"/>
        </w:rPr>
        <w:t xml:space="preserve"> A few clusters in the central-eastern plains of Gansu demonstrated High-High suitability. These regions benefit from better water diversion infrastructure and are situated closer to provincial economic development zones. Policy investment in these areas </w:t>
      </w:r>
      <w:r w:rsidRPr="006148EC">
        <w:rPr>
          <w:b/>
          <w:lang w:val="en-IN"/>
        </w:rPr>
        <w:t>is associated with</w:t>
      </w:r>
      <w:r w:rsidRPr="006148EC">
        <w:rPr>
          <w:lang w:val="en-IN"/>
        </w:rPr>
        <w:t xml:space="preserve"> generating mutually reinforcing high suitability.</w:t>
      </w:r>
    </w:p>
    <w:p w14:paraId="111E8C3F" w14:textId="77777777" w:rsidR="006148EC" w:rsidRPr="006148EC" w:rsidRDefault="006148EC" w:rsidP="006148EC">
      <w:pPr>
        <w:pStyle w:val="BodyText"/>
        <w:numPr>
          <w:ilvl w:val="0"/>
          <w:numId w:val="10"/>
        </w:numPr>
        <w:spacing w:line="276" w:lineRule="auto"/>
        <w:ind w:right="352"/>
        <w:rPr>
          <w:lang w:val="en-IN"/>
        </w:rPr>
      </w:pPr>
      <w:r w:rsidRPr="006148EC">
        <w:rPr>
          <w:b/>
          <w:lang w:val="en-IN"/>
        </w:rPr>
        <w:t>Low-Low Clusters:</w:t>
      </w:r>
      <w:r w:rsidRPr="006148EC">
        <w:rPr>
          <w:lang w:val="en-IN"/>
        </w:rPr>
        <w:t xml:space="preserve"> Pronounced Low-Low clusters were identified in the extreme western, highly arid corridor and some deep mountain valleys. In these areas, multiple constraints—specifically low C1, high distance to C5, and poor C14—converge, suggesting that even with significant investment, the inherent geographical constraints </w:t>
      </w:r>
      <w:r w:rsidRPr="006148EC">
        <w:rPr>
          <w:b/>
          <w:lang w:val="en-IN"/>
        </w:rPr>
        <w:t>are associated with</w:t>
      </w:r>
      <w:r w:rsidRPr="006148EC">
        <w:rPr>
          <w:lang w:val="en-IN"/>
        </w:rPr>
        <w:t xml:space="preserve"> creating a systemic low-suitability trap. The presence of these clusters highlights the need for a targeted spatial governance strategy that either avoids these areas or implements highly intensive, localized support [60].</w:t>
      </w:r>
    </w:p>
    <w:p w14:paraId="5BF70169" w14:textId="77777777" w:rsidR="006148EC" w:rsidRPr="006148EC" w:rsidRDefault="006148EC" w:rsidP="006148EC">
      <w:pPr>
        <w:pStyle w:val="BodyText"/>
        <w:spacing w:before="0" w:line="276" w:lineRule="auto"/>
        <w:ind w:left="360" w:right="352"/>
        <w:rPr>
          <w:lang w:val="en-IN"/>
        </w:rPr>
      </w:pPr>
    </w:p>
    <w:p w14:paraId="711C4841" w14:textId="331EC326" w:rsidR="006148EC" w:rsidRPr="006148EC" w:rsidRDefault="006148EC" w:rsidP="00314657">
      <w:pPr>
        <w:pStyle w:val="BodyText"/>
        <w:spacing w:line="276" w:lineRule="auto"/>
        <w:ind w:left="360" w:right="352"/>
        <w:rPr>
          <w:b/>
          <w:lang w:val="en-IN"/>
        </w:rPr>
      </w:pPr>
      <w:r w:rsidRPr="006148EC">
        <w:rPr>
          <w:b/>
          <w:lang w:val="en-IN"/>
        </w:rPr>
        <w:t>4. Discussion</w:t>
      </w:r>
    </w:p>
    <w:p w14:paraId="37193FDE" w14:textId="7D0A1684" w:rsidR="006148EC" w:rsidRPr="006148EC" w:rsidRDefault="006148EC" w:rsidP="00314657">
      <w:pPr>
        <w:pStyle w:val="BodyText"/>
        <w:spacing w:line="276" w:lineRule="auto"/>
        <w:ind w:left="360" w:right="352"/>
        <w:rPr>
          <w:b/>
          <w:lang w:val="en-IN"/>
        </w:rPr>
      </w:pPr>
      <w:r w:rsidRPr="006148EC">
        <w:rPr>
          <w:b/>
          <w:lang w:val="en-IN"/>
        </w:rPr>
        <w:t>Interpretation of the Overall Suitability Level in Gansu's Ecological Migration</w:t>
      </w:r>
    </w:p>
    <w:p w14:paraId="5EB4035C" w14:textId="2F1DBAEE" w:rsidR="006148EC" w:rsidRPr="006148EC" w:rsidRDefault="006148EC" w:rsidP="006148EC">
      <w:pPr>
        <w:pStyle w:val="BodyText"/>
        <w:spacing w:line="276" w:lineRule="auto"/>
        <w:ind w:left="360" w:right="352"/>
        <w:rPr>
          <w:lang w:val="en-IN"/>
        </w:rPr>
      </w:pPr>
      <w:r w:rsidRPr="006148EC">
        <w:rPr>
          <w:lang w:val="en-IN"/>
        </w:rPr>
        <w:t xml:space="preserve">The finding that nearly half of the concentrated resettlement sites in Gansu are only </w:t>
      </w:r>
      <w:r w:rsidRPr="006148EC">
        <w:rPr>
          <w:b/>
          <w:lang w:val="en-IN"/>
        </w:rPr>
        <w:t>Marginally Suitable</w:t>
      </w:r>
      <w:r w:rsidRPr="006148EC">
        <w:rPr>
          <w:lang w:val="en-IN"/>
        </w:rPr>
        <w:t xml:space="preserve"> (</w:t>
      </w:r>
      <w:r w:rsidRPr="006148EC">
        <w:rPr>
          <w:noProof/>
          <w:lang w:val="en-IN"/>
        </w:rPr>
        <w:drawing>
          <wp:inline distT="0" distB="0" distL="0" distR="0" wp14:anchorId="25FB0EEC" wp14:editId="4F88883F">
            <wp:extent cx="38100" cy="19050"/>
            <wp:effectExtent l="0" t="0" r="0" b="0"/>
            <wp:docPr id="1699423938"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average </w:t>
      </w:r>
      <w:r w:rsidRPr="006148EC">
        <w:rPr>
          <w:noProof/>
          <w:lang w:val="en-IN"/>
        </w:rPr>
        <w:drawing>
          <wp:inline distT="0" distB="0" distL="0" distR="0" wp14:anchorId="2B784D0D" wp14:editId="581C44CE">
            <wp:extent cx="38100" cy="19050"/>
            <wp:effectExtent l="0" t="0" r="0" b="0"/>
            <wp:docPr id="648006532"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provides a crucial reality check for China's ambitious ecological migration policy [50]. While the programs have successfully addressed the urgent need for environmental restoration and have physically moved populations away from hazard zones, they often fall short of creating truly sustainable, high-quality human settlements [58].</w:t>
      </w:r>
    </w:p>
    <w:p w14:paraId="68665848" w14:textId="5B07280F" w:rsidR="006148EC" w:rsidRPr="006148EC" w:rsidRDefault="006148EC" w:rsidP="00314657">
      <w:pPr>
        <w:pStyle w:val="BodyText"/>
        <w:spacing w:line="276" w:lineRule="auto"/>
        <w:ind w:left="360" w:right="352"/>
        <w:rPr>
          <w:lang w:val="en-IN"/>
        </w:rPr>
      </w:pPr>
      <w:r w:rsidRPr="006148EC">
        <w:rPr>
          <w:lang w:val="en-IN"/>
        </w:rPr>
        <w:t xml:space="preserve">The success in achieving high Location-Accessibility and adequate Natural-Ecological safety scores confirms the effectiveness of initial planning inputs (e.g., infrastructure provision, hazard screening). However, the Achilles’ heel of the system </w:t>
      </w:r>
      <w:r w:rsidRPr="006148EC">
        <w:rPr>
          <w:b/>
          <w:lang w:val="en-IN"/>
        </w:rPr>
        <w:t>is associated with</w:t>
      </w:r>
      <w:r w:rsidRPr="006148EC">
        <w:rPr>
          <w:lang w:val="en-IN"/>
        </w:rPr>
        <w:t xml:space="preserve"> the </w:t>
      </w:r>
      <w:r w:rsidRPr="006148EC">
        <w:rPr>
          <w:b/>
          <w:lang w:val="en-IN"/>
        </w:rPr>
        <w:t>Socio-Economic Pillar</w:t>
      </w:r>
      <w:r w:rsidRPr="006148EC">
        <w:rPr>
          <w:lang w:val="en-IN"/>
        </w:rPr>
        <w:t xml:space="preserve"> [15]. The low scores here suggest that the new communities are acting as residential dormitories rather than vibrant, economically self-sufficient townships. If migrants cannot secure stable income or integrate into the local economy, the risk of secondary migration, poverty re-entrenchment, or even eventual return to the original, degraded land </w:t>
      </w:r>
      <w:r w:rsidRPr="006148EC">
        <w:rPr>
          <w:b/>
          <w:lang w:val="en-IN"/>
        </w:rPr>
        <w:t>is associated with</w:t>
      </w:r>
      <w:r w:rsidRPr="006148EC">
        <w:rPr>
          <w:lang w:val="en-IN"/>
        </w:rPr>
        <w:t xml:space="preserve"> remaining high, ultimately undermining the entire ER goal [12, 51].</w:t>
      </w:r>
    </w:p>
    <w:p w14:paraId="29B7D8FA" w14:textId="071B7686" w:rsidR="006148EC" w:rsidRPr="006148EC" w:rsidRDefault="006148EC" w:rsidP="00314657">
      <w:pPr>
        <w:pStyle w:val="BodyText"/>
        <w:spacing w:line="276" w:lineRule="auto"/>
        <w:ind w:left="360" w:right="352"/>
        <w:rPr>
          <w:b/>
          <w:lang w:val="en-IN"/>
        </w:rPr>
      </w:pPr>
      <w:r w:rsidRPr="006148EC">
        <w:rPr>
          <w:b/>
          <w:lang w:val="en-IN"/>
        </w:rPr>
        <w:t xml:space="preserve">The Economic Integration Deficit: Transitioning from Agricultural Livelihoods to Urban </w:t>
      </w:r>
      <w:r w:rsidR="00314657">
        <w:rPr>
          <w:b/>
          <w:lang w:val="en-IN"/>
        </w:rPr>
        <w:t xml:space="preserve">         </w:t>
      </w:r>
      <w:r w:rsidRPr="006148EC">
        <w:rPr>
          <w:b/>
          <w:lang w:val="en-IN"/>
        </w:rPr>
        <w:t>Labor</w:t>
      </w:r>
    </w:p>
    <w:p w14:paraId="0D0BAA64" w14:textId="77777777" w:rsidR="006148EC" w:rsidRPr="006148EC" w:rsidRDefault="006148EC" w:rsidP="006148EC">
      <w:pPr>
        <w:pStyle w:val="BodyText"/>
        <w:spacing w:line="276" w:lineRule="auto"/>
        <w:ind w:left="360" w:right="352"/>
        <w:rPr>
          <w:lang w:val="en-IN"/>
        </w:rPr>
      </w:pPr>
      <w:r w:rsidRPr="006148EC">
        <w:rPr>
          <w:lang w:val="en-IN"/>
        </w:rPr>
        <w:lastRenderedPageBreak/>
        <w:t xml:space="preserve">The stark difference between the high scores for physical accessibility and the critically low average for the Socio-Economic Pillar (46.3) confirms a systemic challenge in China's ecological resettlement (ER) programs: the </w:t>
      </w:r>
      <w:r w:rsidRPr="006148EC">
        <w:rPr>
          <w:b/>
          <w:lang w:val="en-IN"/>
        </w:rPr>
        <w:t>Economic Integration Deficit</w:t>
      </w:r>
      <w:r w:rsidRPr="006148EC">
        <w:rPr>
          <w:lang w:val="en-IN"/>
        </w:rPr>
        <w:t xml:space="preserve">. The policy effectively solves a spatial problem (moving people) but fails to adequately address the subsequent </w:t>
      </w:r>
      <w:r w:rsidRPr="006148EC">
        <w:rPr>
          <w:b/>
          <w:lang w:val="en-IN"/>
        </w:rPr>
        <w:t>socio-economic transformation</w:t>
      </w:r>
      <w:r w:rsidRPr="006148EC">
        <w:rPr>
          <w:lang w:val="en-IN"/>
        </w:rPr>
        <w:t xml:space="preserve"> necessary for long-term sustainability. The primary obstacle factors of </w:t>
      </w: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and the </w:t>
      </w:r>
      <w:r w:rsidRPr="006148EC">
        <w:rPr>
          <w:b/>
          <w:lang w:val="en-IN"/>
        </w:rPr>
        <w:t>Local Economic Diversity Index (C6)</w:t>
      </w:r>
      <w:r w:rsidRPr="006148EC">
        <w:rPr>
          <w:lang w:val="en-IN"/>
        </w:rPr>
        <w:t xml:space="preserve"> are not isolated issues; they are symptomatic of a deep-seated disconnect between the policy's relocation goals and the economic reality facing former agriculturalists.</w:t>
      </w:r>
    </w:p>
    <w:p w14:paraId="13948151" w14:textId="77777777" w:rsidR="006148EC" w:rsidRPr="006148EC" w:rsidRDefault="006148EC" w:rsidP="006148EC">
      <w:pPr>
        <w:pStyle w:val="BodyText"/>
        <w:spacing w:line="276" w:lineRule="auto"/>
        <w:ind w:left="360" w:right="352"/>
        <w:rPr>
          <w:lang w:val="en-IN"/>
        </w:rPr>
      </w:pPr>
      <w:r w:rsidRPr="006148EC">
        <w:rPr>
          <w:lang w:val="en-IN"/>
        </w:rPr>
        <w:t xml:space="preserve">The transition required of ecological migrants from arid mountainous areas </w:t>
      </w:r>
      <w:r w:rsidRPr="006148EC">
        <w:rPr>
          <w:b/>
          <w:lang w:val="en-IN"/>
        </w:rPr>
        <w:t>is associated with</w:t>
      </w:r>
      <w:r w:rsidRPr="006148EC">
        <w:rPr>
          <w:lang w:val="en-IN"/>
        </w:rPr>
        <w:t xml:space="preserve"> a profound shift in livelihood strategy—from reliance on </w:t>
      </w:r>
      <w:r w:rsidRPr="006148EC">
        <w:rPr>
          <w:b/>
          <w:lang w:val="en-IN"/>
        </w:rPr>
        <w:t>natural capital</w:t>
      </w:r>
      <w:r w:rsidRPr="006148EC">
        <w:rPr>
          <w:lang w:val="en-IN"/>
        </w:rPr>
        <w:t xml:space="preserve"> (land, water, forests) and </w:t>
      </w:r>
      <w:r w:rsidRPr="006148EC">
        <w:rPr>
          <w:b/>
          <w:lang w:val="en-IN"/>
        </w:rPr>
        <w:t>social capital</w:t>
      </w:r>
      <w:r w:rsidRPr="006148EC">
        <w:rPr>
          <w:lang w:val="en-IN"/>
        </w:rPr>
        <w:t xml:space="preserve"> (kinship networks) in their villages to dependence on </w:t>
      </w:r>
      <w:r w:rsidRPr="006148EC">
        <w:rPr>
          <w:b/>
          <w:lang w:val="en-IN"/>
        </w:rPr>
        <w:t>human capital</w:t>
      </w:r>
      <w:r w:rsidRPr="006148EC">
        <w:rPr>
          <w:lang w:val="en-IN"/>
        </w:rPr>
        <w:t xml:space="preserve"> (skills, education) and </w:t>
      </w:r>
      <w:r w:rsidRPr="006148EC">
        <w:rPr>
          <w:b/>
          <w:lang w:val="en-IN"/>
        </w:rPr>
        <w:t>financial capital</w:t>
      </w:r>
      <w:r w:rsidRPr="006148EC">
        <w:rPr>
          <w:lang w:val="en-IN"/>
        </w:rPr>
        <w:t xml:space="preserve"> (wages, savings) in the new, often urban, setting [24]. This transition </w:t>
      </w:r>
      <w:r w:rsidRPr="006148EC">
        <w:rPr>
          <w:b/>
          <w:lang w:val="en-IN"/>
        </w:rPr>
        <w:t>is associated with</w:t>
      </w:r>
      <w:r w:rsidRPr="006148EC">
        <w:rPr>
          <w:lang w:val="en-IN"/>
        </w:rPr>
        <w:t xml:space="preserve"> being fraught with challenges, as the concentrated resettlement model inherently disrupts the delicate balance of livelihood capitals previously maintained by the households [21].</w:t>
      </w:r>
    </w:p>
    <w:p w14:paraId="4331C2BD" w14:textId="77777777" w:rsidR="006148EC" w:rsidRPr="006148EC" w:rsidRDefault="006148EC" w:rsidP="006148EC">
      <w:pPr>
        <w:pStyle w:val="BodyText"/>
        <w:spacing w:line="276" w:lineRule="auto"/>
        <w:ind w:left="360" w:right="352"/>
        <w:rPr>
          <w:lang w:val="en-IN"/>
        </w:rPr>
      </w:pPr>
    </w:p>
    <w:p w14:paraId="507B3E98" w14:textId="551BEA4D" w:rsidR="006148EC" w:rsidRPr="006148EC" w:rsidRDefault="006148EC" w:rsidP="00314657">
      <w:pPr>
        <w:pStyle w:val="BodyText"/>
        <w:spacing w:line="276" w:lineRule="auto"/>
        <w:ind w:left="360" w:right="352"/>
        <w:rPr>
          <w:b/>
          <w:lang w:val="en-IN"/>
        </w:rPr>
      </w:pPr>
      <w:r w:rsidRPr="006148EC">
        <w:rPr>
          <w:b/>
          <w:lang w:val="en-IN"/>
        </w:rPr>
        <w:t>Structural Analysis of Livelihood Capital Disruption</w:t>
      </w:r>
    </w:p>
    <w:p w14:paraId="231D3F43" w14:textId="77777777" w:rsidR="006148EC" w:rsidRPr="006148EC" w:rsidRDefault="006148EC" w:rsidP="006148EC">
      <w:pPr>
        <w:pStyle w:val="BodyText"/>
        <w:spacing w:line="276" w:lineRule="auto"/>
        <w:ind w:left="360" w:right="352"/>
        <w:rPr>
          <w:lang w:val="en-IN"/>
        </w:rPr>
      </w:pPr>
      <w:r w:rsidRPr="006148EC">
        <w:rPr>
          <w:lang w:val="en-IN"/>
        </w:rPr>
        <w:t xml:space="preserve">We can structurally </w:t>
      </w:r>
      <w:proofErr w:type="spellStart"/>
      <w:r w:rsidRPr="006148EC">
        <w:rPr>
          <w:lang w:val="en-IN"/>
        </w:rPr>
        <w:t>analyze</w:t>
      </w:r>
      <w:proofErr w:type="spellEnd"/>
      <w:r w:rsidRPr="006148EC">
        <w:rPr>
          <w:lang w:val="en-IN"/>
        </w:rPr>
        <w:t xml:space="preserve"> the impact of ER on the migrants' capital base using the Sustainable Livelihoods Framework [24]:</w:t>
      </w:r>
    </w:p>
    <w:p w14:paraId="3410B25A" w14:textId="77777777" w:rsidR="006148EC" w:rsidRPr="006148EC" w:rsidRDefault="006148EC" w:rsidP="006148EC">
      <w:pPr>
        <w:pStyle w:val="BodyText"/>
        <w:numPr>
          <w:ilvl w:val="0"/>
          <w:numId w:val="11"/>
        </w:numPr>
        <w:spacing w:line="276" w:lineRule="auto"/>
        <w:ind w:right="352"/>
        <w:rPr>
          <w:lang w:val="en-IN"/>
        </w:rPr>
      </w:pPr>
      <w:r w:rsidRPr="006148EC">
        <w:rPr>
          <w:b/>
          <w:lang w:val="en-IN"/>
        </w:rPr>
        <w:t>Natural and Physical Capital (Increased but fundamentally changed):</w:t>
      </w:r>
      <w:r w:rsidRPr="006148EC">
        <w:rPr>
          <w:lang w:val="en-IN"/>
        </w:rPr>
        <w:t xml:space="preserve"> ER policies dramatically </w:t>
      </w:r>
      <w:r w:rsidRPr="006148EC">
        <w:rPr>
          <w:b/>
          <w:lang w:val="en-IN"/>
        </w:rPr>
        <w:t>increase</w:t>
      </w:r>
      <w:r w:rsidRPr="006148EC">
        <w:rPr>
          <w:lang w:val="en-IN"/>
        </w:rPr>
        <w:t xml:space="preserve"> physical capital by providing new, modern housing, and access to roads, electricity, and telecommunications (reflected in our high Location-Accessibility scores) [15]. However, they effectively </w:t>
      </w:r>
      <w:r w:rsidRPr="006148EC">
        <w:rPr>
          <w:b/>
          <w:lang w:val="en-IN"/>
        </w:rPr>
        <w:t>eliminate</w:t>
      </w:r>
      <w:r w:rsidRPr="006148EC">
        <w:rPr>
          <w:lang w:val="en-IN"/>
        </w:rPr>
        <w:t xml:space="preserve"> the household's prior natural capital (their land and water rights in the original village), the very foundation of their subsistence economy. While the original land was degraded, it represented security and autonomy [12]. The new physical capital does not directly generate income; it </w:t>
      </w:r>
      <w:r w:rsidRPr="006148EC">
        <w:rPr>
          <w:b/>
          <w:lang w:val="en-IN"/>
        </w:rPr>
        <w:t>is associated with</w:t>
      </w:r>
      <w:r w:rsidRPr="006148EC">
        <w:rPr>
          <w:lang w:val="en-IN"/>
        </w:rPr>
        <w:t xml:space="preserve"> creating financial liabilities (utilities, management fees) [33].</w:t>
      </w:r>
    </w:p>
    <w:p w14:paraId="7F96E555" w14:textId="77777777" w:rsidR="006148EC" w:rsidRPr="006148EC" w:rsidRDefault="006148EC" w:rsidP="006148EC">
      <w:pPr>
        <w:pStyle w:val="BodyText"/>
        <w:numPr>
          <w:ilvl w:val="0"/>
          <w:numId w:val="11"/>
        </w:numPr>
        <w:spacing w:line="276" w:lineRule="auto"/>
        <w:ind w:right="352"/>
        <w:rPr>
          <w:lang w:val="en-IN"/>
        </w:rPr>
      </w:pPr>
      <w:r w:rsidRPr="006148EC">
        <w:rPr>
          <w:b/>
          <w:lang w:val="en-IN"/>
        </w:rPr>
        <w:t>Human Capital (Inadequate for the New Economy):</w:t>
      </w:r>
      <w:r w:rsidRPr="006148EC">
        <w:rPr>
          <w:lang w:val="en-IN"/>
        </w:rPr>
        <w:t xml:space="preserve"> The human capital (education, training, health) of migrants, previously sufficient for subsistence farming, </w:t>
      </w:r>
      <w:r w:rsidRPr="006148EC">
        <w:rPr>
          <w:b/>
          <w:lang w:val="en-IN"/>
        </w:rPr>
        <w:t>is often inadequate</w:t>
      </w:r>
      <w:r w:rsidRPr="006148EC">
        <w:rPr>
          <w:lang w:val="en-IN"/>
        </w:rPr>
        <w:t xml:space="preserve"> for the new, diversified economy of the resettlement region [16]. This is directly reflected in the high obstacle ranking of the </w:t>
      </w:r>
      <w:r w:rsidRPr="006148EC">
        <w:rPr>
          <w:b/>
          <w:lang w:val="en-IN"/>
        </w:rPr>
        <w:t>Availability of Vocational Training (C7)</w:t>
      </w:r>
      <w:r w:rsidRPr="006148EC">
        <w:rPr>
          <w:lang w:val="en-IN"/>
        </w:rPr>
        <w:t>. Former farmers and herders lack the specific technical and soft skills required for employment in the service, manufacturing, or construction sectors now available near the resettlement sites [24]. This skills gap translates directly into precarious, low-wage employment or chronic unemployment, severely constraining financial resilience.</w:t>
      </w:r>
    </w:p>
    <w:p w14:paraId="5AE8E863" w14:textId="77777777" w:rsidR="006148EC" w:rsidRPr="006148EC" w:rsidRDefault="006148EC" w:rsidP="006148EC">
      <w:pPr>
        <w:pStyle w:val="BodyText"/>
        <w:numPr>
          <w:ilvl w:val="0"/>
          <w:numId w:val="11"/>
        </w:numPr>
        <w:spacing w:line="276" w:lineRule="auto"/>
        <w:ind w:right="352"/>
        <w:rPr>
          <w:lang w:val="en-IN"/>
        </w:rPr>
      </w:pPr>
      <w:r w:rsidRPr="006148EC">
        <w:rPr>
          <w:b/>
          <w:lang w:val="en-IN"/>
        </w:rPr>
        <w:lastRenderedPageBreak/>
        <w:t>Financial Capital (Constrained and Highly Vulnerable):</w:t>
      </w:r>
      <w:r w:rsidRPr="006148EC">
        <w:rPr>
          <w:lang w:val="en-IN"/>
        </w:rPr>
        <w:t xml:space="preserve"> Migrants typically enter the resettlement communities with </w:t>
      </w:r>
      <w:r w:rsidRPr="006148EC">
        <w:rPr>
          <w:b/>
          <w:lang w:val="en-IN"/>
        </w:rPr>
        <w:t>constrained</w:t>
      </w:r>
      <w:r w:rsidRPr="006148EC">
        <w:rPr>
          <w:lang w:val="en-IN"/>
        </w:rPr>
        <w:t xml:space="preserve"> financial capital. Compensation for relocation is often insufficient to cover initial settlement costs, and new households often lack the savings or credit history necessary to start new enterprises or weather periods of unemployment [21]. Furthermore, without diverse local economic opportunities (C6), entire communities become reliant on remittances or a single, unstable local employer, creating a highly vulnerable local economy and </w:t>
      </w:r>
      <w:r w:rsidRPr="006148EC">
        <w:rPr>
          <w:b/>
          <w:lang w:val="en-IN"/>
        </w:rPr>
        <w:t>is associated with</w:t>
      </w:r>
      <w:r w:rsidRPr="006148EC">
        <w:rPr>
          <w:lang w:val="en-IN"/>
        </w:rPr>
        <w:t xml:space="preserve"> perpetuating poverty rather than alleviating it [50].</w:t>
      </w:r>
    </w:p>
    <w:p w14:paraId="3427F735" w14:textId="77777777" w:rsidR="006148EC" w:rsidRPr="006148EC" w:rsidRDefault="006148EC" w:rsidP="006148EC">
      <w:pPr>
        <w:pStyle w:val="BodyText"/>
        <w:numPr>
          <w:ilvl w:val="0"/>
          <w:numId w:val="11"/>
        </w:numPr>
        <w:spacing w:line="276" w:lineRule="auto"/>
        <w:ind w:right="352"/>
        <w:rPr>
          <w:lang w:val="en-IN"/>
        </w:rPr>
      </w:pPr>
      <w:r w:rsidRPr="006148EC">
        <w:rPr>
          <w:b/>
          <w:lang w:val="en-IN"/>
        </w:rPr>
        <w:t>Social Capital (Severely Diminished):</w:t>
      </w:r>
      <w:r w:rsidRPr="006148EC">
        <w:rPr>
          <w:lang w:val="en-IN"/>
        </w:rPr>
        <w:t xml:space="preserve"> Perhaps the most overlooked aspect of the deficit is the catastrophic </w:t>
      </w:r>
      <w:r w:rsidRPr="006148EC">
        <w:rPr>
          <w:b/>
          <w:lang w:val="en-IN"/>
        </w:rPr>
        <w:t>loss of social capital</w:t>
      </w:r>
      <w:r w:rsidRPr="006148EC">
        <w:rPr>
          <w:lang w:val="en-IN"/>
        </w:rPr>
        <w:t xml:space="preserve"> and place attachment [61]. The forced dismantling of traditional kinship and village networks fundamentally erodes the informal safety net that provides reciprocal </w:t>
      </w:r>
      <w:proofErr w:type="spellStart"/>
      <w:r w:rsidRPr="006148EC">
        <w:rPr>
          <w:lang w:val="en-IN"/>
        </w:rPr>
        <w:t>labor</w:t>
      </w:r>
      <w:proofErr w:type="spellEnd"/>
      <w:r w:rsidRPr="006148EC">
        <w:rPr>
          <w:lang w:val="en-IN"/>
        </w:rPr>
        <w:t xml:space="preserve">, emotional support, and shared resources in times of crisis [10, 31]. The new, concentrated communities, while spatially dense, </w:t>
      </w:r>
      <w:r w:rsidRPr="006148EC">
        <w:rPr>
          <w:b/>
          <w:lang w:val="en-IN"/>
        </w:rPr>
        <w:t>are often socially fragmented</w:t>
      </w:r>
      <w:r w:rsidRPr="006148EC">
        <w:rPr>
          <w:lang w:val="en-IN"/>
        </w:rPr>
        <w:t>, composed of households relocated from multiple, disparate source villages. This necessitates a slow and challenging process of building new trust and community ties [33]. The failure to integrate socially compromises the ability of households to pool resources or gain informal access to job information, further exacerbating the economic deficit [15].</w:t>
      </w:r>
    </w:p>
    <w:p w14:paraId="7C436C8A" w14:textId="77777777" w:rsidR="006148EC" w:rsidRPr="006148EC" w:rsidRDefault="006148EC" w:rsidP="006148EC">
      <w:pPr>
        <w:pStyle w:val="BodyText"/>
        <w:spacing w:before="0" w:line="276" w:lineRule="auto"/>
        <w:ind w:left="360" w:right="352"/>
        <w:rPr>
          <w:lang w:val="en-IN"/>
        </w:rPr>
      </w:pPr>
    </w:p>
    <w:p w14:paraId="41A7E47E" w14:textId="755C39B5" w:rsidR="006148EC" w:rsidRPr="006148EC" w:rsidRDefault="006148EC" w:rsidP="006148EC">
      <w:pPr>
        <w:pStyle w:val="BodyText"/>
        <w:spacing w:line="276" w:lineRule="auto"/>
        <w:ind w:left="360" w:right="352"/>
        <w:rPr>
          <w:b/>
          <w:lang w:val="en-IN"/>
        </w:rPr>
      </w:pPr>
      <w:r w:rsidRPr="006148EC">
        <w:rPr>
          <w:b/>
          <w:lang w:val="en-IN"/>
        </w:rPr>
        <w:t xml:space="preserve"> The Policy and Economic Mechanism of Failure</w:t>
      </w:r>
    </w:p>
    <w:p w14:paraId="60F58113" w14:textId="77777777" w:rsidR="006148EC" w:rsidRPr="006148EC" w:rsidRDefault="006148EC" w:rsidP="006148EC">
      <w:pPr>
        <w:pStyle w:val="BodyText"/>
        <w:spacing w:line="276" w:lineRule="auto"/>
        <w:ind w:left="360" w:right="352"/>
        <w:rPr>
          <w:lang w:val="en-IN"/>
        </w:rPr>
      </w:pPr>
    </w:p>
    <w:p w14:paraId="4565A4CC" w14:textId="77777777" w:rsidR="006148EC" w:rsidRPr="006148EC" w:rsidRDefault="006148EC" w:rsidP="006148EC">
      <w:pPr>
        <w:pStyle w:val="BodyText"/>
        <w:spacing w:line="276" w:lineRule="auto"/>
        <w:ind w:left="360" w:right="352"/>
        <w:rPr>
          <w:lang w:val="en-IN"/>
        </w:rPr>
      </w:pPr>
      <w:r w:rsidRPr="006148EC">
        <w:rPr>
          <w:lang w:val="en-IN"/>
        </w:rPr>
        <w:t xml:space="preserve">The mechanism driving the Economic Integration Deficit </w:t>
      </w:r>
      <w:r w:rsidRPr="006148EC">
        <w:rPr>
          <w:b/>
          <w:lang w:val="en-IN"/>
        </w:rPr>
        <w:t>is associated with</w:t>
      </w:r>
      <w:r w:rsidRPr="006148EC">
        <w:rPr>
          <w:lang w:val="en-IN"/>
        </w:rPr>
        <w:t xml:space="preserve"> being structural. The primary goal of the planning phase is to ensure </w:t>
      </w:r>
      <w:r w:rsidRPr="006148EC">
        <w:rPr>
          <w:b/>
          <w:lang w:val="en-IN"/>
        </w:rPr>
        <w:t>physical suitability</w:t>
      </w:r>
      <w:r w:rsidRPr="006148EC">
        <w:rPr>
          <w:lang w:val="en-IN"/>
        </w:rPr>
        <w:t xml:space="preserve"> (safety and access), which requires minimal economic planning. The financial flows are prioritized for construction (new housing, roads, water mains). Economic development—the creation of sustained, diverse, and skilled employment—is often relegated to a secondary phase of "follow-up support," which is frequently under-funded, poorly coordinated, and implemented long after the migrants have arrived [24, 50].</w:t>
      </w:r>
    </w:p>
    <w:p w14:paraId="676FF95A" w14:textId="77777777" w:rsidR="006148EC" w:rsidRPr="006148EC" w:rsidRDefault="006148EC" w:rsidP="006148EC">
      <w:pPr>
        <w:pStyle w:val="BodyText"/>
        <w:numPr>
          <w:ilvl w:val="0"/>
          <w:numId w:val="12"/>
        </w:numPr>
        <w:spacing w:line="276" w:lineRule="auto"/>
        <w:ind w:right="352"/>
        <w:rPr>
          <w:lang w:val="en-IN"/>
        </w:rPr>
      </w:pPr>
      <w:r w:rsidRPr="006148EC">
        <w:rPr>
          <w:b/>
          <w:lang w:val="en-IN"/>
        </w:rPr>
        <w:t>Passive Job Market Proximity:</w:t>
      </w:r>
      <w:r w:rsidRPr="006148EC">
        <w:rPr>
          <w:lang w:val="en-IN"/>
        </w:rPr>
        <w:t xml:space="preserve"> By focusing on </w:t>
      </w: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our analysis shows that planners rely on the </w:t>
      </w:r>
      <w:r w:rsidRPr="006148EC">
        <w:rPr>
          <w:i/>
          <w:lang w:val="en-IN"/>
        </w:rPr>
        <w:t>existing</w:t>
      </w:r>
      <w:r w:rsidRPr="006148EC">
        <w:rPr>
          <w:lang w:val="en-IN"/>
        </w:rPr>
        <w:t xml:space="preserve"> job market. They place communities near industrial parks or urban fringes and assume the jobs will be absorbed passively. However, this neglects the active mismatch in human capital (skills) and the competition from established, existing local urban populations who already possess the requisite skills and social networks [16].</w:t>
      </w:r>
    </w:p>
    <w:p w14:paraId="4DBDEA54" w14:textId="77777777" w:rsidR="006148EC" w:rsidRPr="006148EC" w:rsidRDefault="006148EC" w:rsidP="006148EC">
      <w:pPr>
        <w:pStyle w:val="BodyText"/>
        <w:numPr>
          <w:ilvl w:val="0"/>
          <w:numId w:val="12"/>
        </w:numPr>
        <w:spacing w:line="276" w:lineRule="auto"/>
        <w:ind w:right="352"/>
        <w:rPr>
          <w:lang w:val="en-IN"/>
        </w:rPr>
      </w:pPr>
      <w:r w:rsidRPr="006148EC">
        <w:rPr>
          <w:b/>
          <w:lang w:val="en-IN"/>
        </w:rPr>
        <w:t>Homogeneity of New Settlements:</w:t>
      </w:r>
      <w:r w:rsidRPr="006148EC">
        <w:rPr>
          <w:lang w:val="en-IN"/>
        </w:rPr>
        <w:t xml:space="preserve"> The low score for the </w:t>
      </w:r>
      <w:r w:rsidRPr="006148EC">
        <w:rPr>
          <w:b/>
          <w:lang w:val="en-IN"/>
        </w:rPr>
        <w:t>Local Economic Diversity Index (C6)</w:t>
      </w:r>
      <w:r w:rsidRPr="006148EC">
        <w:rPr>
          <w:lang w:val="en-IN"/>
        </w:rPr>
        <w:t xml:space="preserve"> indicates that new settlements are often economically monotonous. They lack the organic mix of small businesses, retail, specialized services, and light industry necessary to provide </w:t>
      </w:r>
      <w:r w:rsidRPr="006148EC">
        <w:rPr>
          <w:lang w:val="en-IN"/>
        </w:rPr>
        <w:lastRenderedPageBreak/>
        <w:t xml:space="preserve">diverse entry points for a mixed-skill migrant population [43]. This homogeneity </w:t>
      </w:r>
      <w:r w:rsidRPr="006148EC">
        <w:rPr>
          <w:b/>
          <w:lang w:val="en-IN"/>
        </w:rPr>
        <w:t>is associated with</w:t>
      </w:r>
      <w:r w:rsidRPr="006148EC">
        <w:rPr>
          <w:lang w:val="en-IN"/>
        </w:rPr>
        <w:t xml:space="preserve"> creating an employment bottleneck, where most families rely on one or two dominant employers (e.g., local construction projects), leading to widespread economic volatility once those temporary projects conclude [50].</w:t>
      </w:r>
    </w:p>
    <w:p w14:paraId="12608182" w14:textId="114B4C26" w:rsidR="006148EC" w:rsidRPr="006148EC" w:rsidRDefault="006148EC" w:rsidP="00314657">
      <w:pPr>
        <w:pStyle w:val="BodyText"/>
        <w:spacing w:before="0" w:line="276" w:lineRule="auto"/>
        <w:ind w:left="360" w:right="352"/>
        <w:rPr>
          <w:lang w:val="en-IN"/>
        </w:rPr>
      </w:pPr>
      <w:r w:rsidRPr="006148EC">
        <w:rPr>
          <w:lang w:val="en-IN"/>
        </w:rPr>
        <w:t xml:space="preserve">In essence, the policy successfully manages the </w:t>
      </w:r>
      <w:r w:rsidRPr="006148EC">
        <w:rPr>
          <w:b/>
          <w:lang w:val="en-IN"/>
        </w:rPr>
        <w:t>"push" factor</w:t>
      </w:r>
      <w:r w:rsidRPr="006148EC">
        <w:rPr>
          <w:lang w:val="en-IN"/>
        </w:rPr>
        <w:t xml:space="preserve"> (getting people out of vulnerable areas) but fails to adequately generate the sustainable </w:t>
      </w:r>
      <w:r w:rsidRPr="006148EC">
        <w:rPr>
          <w:b/>
          <w:lang w:val="en-IN"/>
        </w:rPr>
        <w:t>"pull" factor</w:t>
      </w:r>
      <w:r w:rsidRPr="006148EC">
        <w:rPr>
          <w:lang w:val="en-IN"/>
        </w:rPr>
        <w:t xml:space="preserve"> (economic opportunity and social integration) required to anchor them securely in the new location. The resulting low suitability score </w:t>
      </w:r>
      <w:r w:rsidRPr="006148EC">
        <w:rPr>
          <w:b/>
          <w:lang w:val="en-IN"/>
        </w:rPr>
        <w:t>is an empirical measure of this policy gap</w:t>
      </w:r>
      <w:r w:rsidRPr="006148EC">
        <w:rPr>
          <w:lang w:val="en-IN"/>
        </w:rPr>
        <w:t>.</w:t>
      </w:r>
    </w:p>
    <w:p w14:paraId="27055D34" w14:textId="10B5179D" w:rsidR="006148EC" w:rsidRPr="006148EC" w:rsidRDefault="006148EC" w:rsidP="00314657">
      <w:pPr>
        <w:pStyle w:val="BodyText"/>
        <w:spacing w:line="276" w:lineRule="auto"/>
        <w:ind w:left="360" w:right="352"/>
        <w:rPr>
          <w:b/>
          <w:lang w:val="en-IN"/>
        </w:rPr>
      </w:pPr>
      <w:r w:rsidRPr="006148EC">
        <w:rPr>
          <w:b/>
          <w:lang w:val="en-IN"/>
        </w:rPr>
        <w:t>Targeted Policy Recommendations for Overcoming the Deficit</w:t>
      </w:r>
    </w:p>
    <w:p w14:paraId="13D56963" w14:textId="77777777" w:rsidR="006148EC" w:rsidRPr="006148EC" w:rsidRDefault="006148EC" w:rsidP="006148EC">
      <w:pPr>
        <w:pStyle w:val="BodyText"/>
        <w:spacing w:line="276" w:lineRule="auto"/>
        <w:ind w:left="360" w:right="352"/>
        <w:rPr>
          <w:lang w:val="en-IN"/>
        </w:rPr>
      </w:pPr>
      <w:r w:rsidRPr="006148EC">
        <w:rPr>
          <w:lang w:val="en-IN"/>
        </w:rPr>
        <w:t xml:space="preserve">The findings from the obstacle factor model demand a strategic reorientation of resources to specifically target the identified economic and human capital constraints. Policy action must move from </w:t>
      </w:r>
      <w:r w:rsidRPr="006148EC">
        <w:rPr>
          <w:b/>
          <w:lang w:val="en-IN"/>
        </w:rPr>
        <w:t>provision</w:t>
      </w:r>
      <w:r w:rsidRPr="006148EC">
        <w:rPr>
          <w:lang w:val="en-IN"/>
        </w:rPr>
        <w:t xml:space="preserve"> (of housing) to </w:t>
      </w:r>
      <w:r w:rsidRPr="006148EC">
        <w:rPr>
          <w:b/>
          <w:lang w:val="en-IN"/>
        </w:rPr>
        <w:t>empowerment</w:t>
      </w:r>
      <w:r w:rsidRPr="006148EC">
        <w:rPr>
          <w:lang w:val="en-IN"/>
        </w:rPr>
        <w:t xml:space="preserve"> (of livelihoods) [24, 37].</w:t>
      </w:r>
    </w:p>
    <w:p w14:paraId="7D38B81A" w14:textId="77777777" w:rsidR="006148EC" w:rsidRPr="006148EC" w:rsidRDefault="006148EC" w:rsidP="006148EC">
      <w:pPr>
        <w:pStyle w:val="BodyText"/>
        <w:spacing w:line="276" w:lineRule="auto"/>
        <w:ind w:left="360" w:right="352"/>
        <w:rPr>
          <w:b/>
          <w:lang w:val="en-IN"/>
        </w:rPr>
      </w:pPr>
      <w:r w:rsidRPr="006148EC">
        <w:rPr>
          <w:b/>
          <w:lang w:val="en-IN"/>
        </w:rPr>
        <w:t>Recommendation 1: Establishing Economic Growth Poles and Industrial Linkages (Addressing C5 and C6)</w:t>
      </w:r>
    </w:p>
    <w:p w14:paraId="03FBC60B" w14:textId="77777777" w:rsidR="006148EC" w:rsidRPr="006148EC" w:rsidRDefault="006148EC" w:rsidP="006148EC">
      <w:pPr>
        <w:pStyle w:val="BodyText"/>
        <w:spacing w:line="276" w:lineRule="auto"/>
        <w:ind w:left="360" w:right="352"/>
        <w:rPr>
          <w:lang w:val="en-IN"/>
        </w:rPr>
      </w:pPr>
      <w:r w:rsidRPr="006148EC">
        <w:rPr>
          <w:lang w:val="en-IN"/>
        </w:rPr>
        <w:t xml:space="preserve">Instead of simply locating sites near </w:t>
      </w:r>
      <w:r w:rsidRPr="006148EC">
        <w:rPr>
          <w:i/>
          <w:lang w:val="en-IN"/>
        </w:rPr>
        <w:t>existing</w:t>
      </w:r>
      <w:r w:rsidRPr="006148EC">
        <w:rPr>
          <w:lang w:val="en-IN"/>
        </w:rPr>
        <w:t xml:space="preserve"> employment </w:t>
      </w:r>
      <w:proofErr w:type="spellStart"/>
      <w:r w:rsidRPr="006148EC">
        <w:rPr>
          <w:lang w:val="en-IN"/>
        </w:rPr>
        <w:t>centers</w:t>
      </w:r>
      <w:proofErr w:type="spellEnd"/>
      <w:r w:rsidRPr="006148EC">
        <w:rPr>
          <w:lang w:val="en-IN"/>
        </w:rPr>
        <w:t xml:space="preserve">, policy must actively </w:t>
      </w:r>
      <w:r w:rsidRPr="006148EC">
        <w:rPr>
          <w:b/>
          <w:lang w:val="en-IN"/>
        </w:rPr>
        <w:t>create</w:t>
      </w:r>
      <w:r w:rsidRPr="006148EC">
        <w:rPr>
          <w:lang w:val="en-IN"/>
        </w:rPr>
        <w:t xml:space="preserve"> new economic growth poles within or immediately adjacent to the concentrated resettlement areas. This involves:</w:t>
      </w:r>
    </w:p>
    <w:p w14:paraId="6CE94C91" w14:textId="77777777" w:rsidR="006148EC" w:rsidRPr="006148EC" w:rsidRDefault="006148EC" w:rsidP="006148EC">
      <w:pPr>
        <w:pStyle w:val="BodyText"/>
        <w:numPr>
          <w:ilvl w:val="0"/>
          <w:numId w:val="13"/>
        </w:numPr>
        <w:spacing w:line="276" w:lineRule="auto"/>
        <w:ind w:right="352"/>
        <w:rPr>
          <w:lang w:val="en-IN"/>
        </w:rPr>
      </w:pPr>
      <w:r w:rsidRPr="006148EC">
        <w:rPr>
          <w:b/>
          <w:lang w:val="en-IN"/>
        </w:rPr>
        <w:t>Tax Incentives and Subsidies:</w:t>
      </w:r>
      <w:r w:rsidRPr="006148EC">
        <w:rPr>
          <w:lang w:val="en-IN"/>
        </w:rPr>
        <w:t xml:space="preserve"> Offering substantial tax breaks, land access priority, and low-interest loans to light manufacturing, processing, and service industries that commit to establishing operations near the new communities and prioritizing the hiring of resettled individuals [15].</w:t>
      </w:r>
    </w:p>
    <w:p w14:paraId="4D2B35D6" w14:textId="77777777" w:rsidR="006148EC" w:rsidRPr="006148EC" w:rsidRDefault="006148EC" w:rsidP="006148EC">
      <w:pPr>
        <w:pStyle w:val="BodyText"/>
        <w:numPr>
          <w:ilvl w:val="0"/>
          <w:numId w:val="13"/>
        </w:numPr>
        <w:spacing w:line="276" w:lineRule="auto"/>
        <w:ind w:right="352"/>
        <w:rPr>
          <w:lang w:val="en-IN"/>
        </w:rPr>
      </w:pPr>
      <w:r w:rsidRPr="006148EC">
        <w:rPr>
          <w:b/>
          <w:lang w:val="en-IN"/>
        </w:rPr>
        <w:t>Developing Internal Economic Ecosystems:</w:t>
      </w:r>
      <w:r w:rsidRPr="006148EC">
        <w:rPr>
          <w:lang w:val="en-IN"/>
        </w:rPr>
        <w:t xml:space="preserve"> Investing in community-level micro-enterprises and small retail by providing start-up capital and business planning assistance specifically tailored for migrants. This boosts the </w:t>
      </w:r>
      <w:r w:rsidRPr="006148EC">
        <w:rPr>
          <w:b/>
          <w:lang w:val="en-IN"/>
        </w:rPr>
        <w:t>Local Economic Diversity Index (C6)</w:t>
      </w:r>
      <w:r w:rsidRPr="006148EC">
        <w:rPr>
          <w:lang w:val="en-IN"/>
        </w:rPr>
        <w:t xml:space="preserve"> from the ground up, providing entry-level self-employment opportunities [50].</w:t>
      </w:r>
    </w:p>
    <w:p w14:paraId="0DBD2099" w14:textId="77777777" w:rsidR="006148EC" w:rsidRPr="006148EC" w:rsidRDefault="006148EC" w:rsidP="006148EC">
      <w:pPr>
        <w:pStyle w:val="BodyText"/>
        <w:numPr>
          <w:ilvl w:val="0"/>
          <w:numId w:val="13"/>
        </w:numPr>
        <w:spacing w:line="276" w:lineRule="auto"/>
        <w:ind w:right="352"/>
        <w:rPr>
          <w:lang w:val="en-IN"/>
        </w:rPr>
      </w:pPr>
      <w:r w:rsidRPr="006148EC">
        <w:rPr>
          <w:b/>
          <w:lang w:val="en-IN"/>
        </w:rPr>
        <w:t>Enhancing Transportation Networks:</w:t>
      </w:r>
      <w:r w:rsidRPr="006148EC">
        <w:rPr>
          <w:lang w:val="en-IN"/>
        </w:rPr>
        <w:t xml:space="preserve"> While our initial Location-Accessibility scores were high, the obstacle degree for </w:t>
      </w:r>
      <w:r w:rsidRPr="006148EC">
        <w:rPr>
          <w:b/>
          <w:lang w:val="en-IN"/>
        </w:rPr>
        <w:t>Public Transit Availability (C14)</w:t>
      </w:r>
      <w:r w:rsidRPr="006148EC">
        <w:rPr>
          <w:lang w:val="en-IN"/>
        </w:rPr>
        <w:t xml:space="preserve"> shows a functional weakness. Upgrading and subsidizing targeted bus routes to connect communities directly to regional industrial zones will effectively reduce the </w:t>
      </w: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in terms of time and cost, even if the physical distance remains [49].</w:t>
      </w:r>
    </w:p>
    <w:p w14:paraId="2B98367F" w14:textId="77777777" w:rsidR="006148EC" w:rsidRPr="006148EC" w:rsidRDefault="006148EC" w:rsidP="006148EC">
      <w:pPr>
        <w:pStyle w:val="BodyText"/>
        <w:spacing w:before="0" w:line="276" w:lineRule="auto"/>
        <w:ind w:left="360" w:right="352"/>
        <w:rPr>
          <w:b/>
          <w:lang w:val="en-IN"/>
        </w:rPr>
      </w:pPr>
      <w:r w:rsidRPr="006148EC">
        <w:rPr>
          <w:b/>
          <w:lang w:val="en-IN"/>
        </w:rPr>
        <w:t>Recommendation 2: Mandatory and Customized Vocational Training (Addressing C7)</w:t>
      </w:r>
    </w:p>
    <w:p w14:paraId="096F605C" w14:textId="77777777" w:rsidR="006148EC" w:rsidRPr="006148EC" w:rsidRDefault="006148EC" w:rsidP="006148EC">
      <w:pPr>
        <w:pStyle w:val="BodyText"/>
        <w:spacing w:line="276" w:lineRule="auto"/>
        <w:ind w:left="360" w:right="352"/>
        <w:rPr>
          <w:lang w:val="en-IN"/>
        </w:rPr>
      </w:pPr>
      <w:r w:rsidRPr="006148EC">
        <w:rPr>
          <w:lang w:val="en-IN"/>
        </w:rPr>
        <w:t xml:space="preserve">The current provision of vocational training </w:t>
      </w:r>
      <w:r w:rsidRPr="006148EC">
        <w:rPr>
          <w:b/>
          <w:lang w:val="en-IN"/>
        </w:rPr>
        <w:t>is associated with being insufficient</w:t>
      </w:r>
      <w:r w:rsidRPr="006148EC">
        <w:rPr>
          <w:lang w:val="en-IN"/>
        </w:rPr>
        <w:t xml:space="preserve">, as indicated by the obstacle degree of C7. Training must be transformed from an optional service to a mandatory </w:t>
      </w:r>
      <w:r w:rsidRPr="006148EC">
        <w:rPr>
          <w:lang w:val="en-IN"/>
        </w:rPr>
        <w:lastRenderedPageBreak/>
        <w:t>component of the resettlement package, with the following characteristics:</w:t>
      </w:r>
    </w:p>
    <w:p w14:paraId="10D06212" w14:textId="77777777" w:rsidR="006148EC" w:rsidRPr="006148EC" w:rsidRDefault="006148EC" w:rsidP="006148EC">
      <w:pPr>
        <w:pStyle w:val="BodyText"/>
        <w:numPr>
          <w:ilvl w:val="0"/>
          <w:numId w:val="14"/>
        </w:numPr>
        <w:spacing w:line="276" w:lineRule="auto"/>
        <w:ind w:right="352"/>
        <w:rPr>
          <w:lang w:val="en-IN"/>
        </w:rPr>
      </w:pPr>
      <w:r w:rsidRPr="006148EC">
        <w:rPr>
          <w:b/>
          <w:lang w:val="en-IN"/>
        </w:rPr>
        <w:t>Demand-Driven Curriculum:</w:t>
      </w:r>
      <w:r w:rsidRPr="006148EC">
        <w:rPr>
          <w:lang w:val="en-IN"/>
        </w:rPr>
        <w:t xml:space="preserve"> Training programs must be dictated by the specific </w:t>
      </w:r>
      <w:proofErr w:type="spellStart"/>
      <w:r w:rsidRPr="006148EC">
        <w:rPr>
          <w:lang w:val="en-IN"/>
        </w:rPr>
        <w:t>labor</w:t>
      </w:r>
      <w:proofErr w:type="spellEnd"/>
      <w:r w:rsidRPr="006148EC">
        <w:rPr>
          <w:lang w:val="en-IN"/>
        </w:rPr>
        <w:t xml:space="preserve"> demands of the incentivized industries located near the resettlement sites. Training former farmers for jobs in manufacturing, construction skills, or urban services (e.g., elderly care, hospitality) is essential [16].</w:t>
      </w:r>
    </w:p>
    <w:p w14:paraId="254F0C4E" w14:textId="77777777" w:rsidR="006148EC" w:rsidRPr="006148EC" w:rsidRDefault="006148EC" w:rsidP="006148EC">
      <w:pPr>
        <w:pStyle w:val="BodyText"/>
        <w:numPr>
          <w:ilvl w:val="0"/>
          <w:numId w:val="14"/>
        </w:numPr>
        <w:spacing w:line="276" w:lineRule="auto"/>
        <w:ind w:right="352"/>
        <w:rPr>
          <w:lang w:val="en-IN"/>
        </w:rPr>
      </w:pPr>
      <w:r w:rsidRPr="006148EC">
        <w:rPr>
          <w:b/>
          <w:lang w:val="en-IN"/>
        </w:rPr>
        <w:t>Financial Stipends:</w:t>
      </w:r>
      <w:r w:rsidRPr="006148EC">
        <w:rPr>
          <w:lang w:val="en-IN"/>
        </w:rPr>
        <w:t xml:space="preserve"> Resettled individuals should receive financial stipends during the training period to offset lost income and encourage participation, removing a major barrier to skill acquisition [24].</w:t>
      </w:r>
    </w:p>
    <w:p w14:paraId="6497D5EA" w14:textId="77777777" w:rsidR="006148EC" w:rsidRPr="006148EC" w:rsidRDefault="006148EC" w:rsidP="006148EC">
      <w:pPr>
        <w:pStyle w:val="BodyText"/>
        <w:numPr>
          <w:ilvl w:val="0"/>
          <w:numId w:val="14"/>
        </w:numPr>
        <w:spacing w:line="276" w:lineRule="auto"/>
        <w:ind w:right="352"/>
        <w:rPr>
          <w:lang w:val="en-IN"/>
        </w:rPr>
      </w:pPr>
      <w:r w:rsidRPr="006148EC">
        <w:rPr>
          <w:b/>
          <w:lang w:val="en-IN"/>
        </w:rPr>
        <w:t>Entrepreneurial Focus:</w:t>
      </w:r>
      <w:r w:rsidRPr="006148EC">
        <w:rPr>
          <w:lang w:val="en-IN"/>
        </w:rPr>
        <w:t xml:space="preserve"> Training should not only focus on employment but also on basic entrepreneurial skills, empowering migrants to start the small businesses necessary to diversify the local economy (C6).</w:t>
      </w:r>
    </w:p>
    <w:p w14:paraId="2FF65A16" w14:textId="77777777" w:rsidR="006148EC" w:rsidRPr="006148EC" w:rsidRDefault="006148EC" w:rsidP="006148EC">
      <w:pPr>
        <w:pStyle w:val="BodyText"/>
        <w:spacing w:before="0" w:line="276" w:lineRule="auto"/>
        <w:ind w:left="360" w:right="352"/>
        <w:rPr>
          <w:b/>
          <w:lang w:val="en-IN"/>
        </w:rPr>
      </w:pPr>
      <w:r w:rsidRPr="006148EC">
        <w:rPr>
          <w:b/>
          <w:lang w:val="en-IN"/>
        </w:rPr>
        <w:t>Recommendation 3: Rebuilding Social Capital and Community Governance (Addressing Social Deficit)</w:t>
      </w:r>
    </w:p>
    <w:p w14:paraId="18EABCEF" w14:textId="77777777" w:rsidR="006148EC" w:rsidRPr="006148EC" w:rsidRDefault="006148EC" w:rsidP="006148EC">
      <w:pPr>
        <w:pStyle w:val="BodyText"/>
        <w:spacing w:line="276" w:lineRule="auto"/>
        <w:ind w:left="360" w:right="352"/>
        <w:rPr>
          <w:lang w:val="en-IN"/>
        </w:rPr>
      </w:pPr>
      <w:r w:rsidRPr="006148EC">
        <w:rPr>
          <w:lang w:val="en-IN"/>
        </w:rPr>
        <w:t xml:space="preserve">Since the loss of social capital </w:t>
      </w:r>
      <w:r w:rsidRPr="006148EC">
        <w:rPr>
          <w:b/>
          <w:lang w:val="en-IN"/>
        </w:rPr>
        <w:t>is associated with being a major barrier</w:t>
      </w:r>
      <w:r w:rsidRPr="006148EC">
        <w:rPr>
          <w:lang w:val="en-IN"/>
        </w:rPr>
        <w:t xml:space="preserve"> to economic integration, investment in community infrastructure and governance is critical to fostering new social support systems:</w:t>
      </w:r>
    </w:p>
    <w:p w14:paraId="005EE67C" w14:textId="77777777" w:rsidR="006148EC" w:rsidRPr="006148EC" w:rsidRDefault="006148EC" w:rsidP="006148EC">
      <w:pPr>
        <w:pStyle w:val="BodyText"/>
        <w:numPr>
          <w:ilvl w:val="0"/>
          <w:numId w:val="15"/>
        </w:numPr>
        <w:spacing w:line="276" w:lineRule="auto"/>
        <w:ind w:right="352"/>
        <w:rPr>
          <w:lang w:val="en-IN"/>
        </w:rPr>
      </w:pPr>
      <w:r w:rsidRPr="006148EC">
        <w:rPr>
          <w:b/>
          <w:lang w:val="en-IN"/>
        </w:rPr>
        <w:t>Participatory Governance:</w:t>
      </w:r>
      <w:r w:rsidRPr="006148EC">
        <w:rPr>
          <w:lang w:val="en-IN"/>
        </w:rPr>
        <w:t xml:space="preserve"> Establishing community management committees in the new settlements that are led by and accountable to the migrants themselves. This process rebuilds a sense of agency, community ownership, and collective action, critical for social resilience [33].</w:t>
      </w:r>
    </w:p>
    <w:p w14:paraId="53BCC55D" w14:textId="77777777" w:rsidR="006148EC" w:rsidRPr="006148EC" w:rsidRDefault="006148EC" w:rsidP="006148EC">
      <w:pPr>
        <w:pStyle w:val="BodyText"/>
        <w:numPr>
          <w:ilvl w:val="0"/>
          <w:numId w:val="15"/>
        </w:numPr>
        <w:spacing w:line="276" w:lineRule="auto"/>
        <w:ind w:right="352"/>
        <w:rPr>
          <w:lang w:val="en-IN"/>
        </w:rPr>
      </w:pPr>
      <w:r w:rsidRPr="006148EC">
        <w:rPr>
          <w:b/>
          <w:lang w:val="en-IN"/>
        </w:rPr>
        <w:t>Social Spaces and Events:</w:t>
      </w:r>
      <w:r w:rsidRPr="006148EC">
        <w:rPr>
          <w:lang w:val="en-IN"/>
        </w:rPr>
        <w:t xml:space="preserve"> Funding the creation of dedicated social spaces (community halls, squares) and subsidizing regular cultural or communal events that facilitate interaction between migrants from different source villages, accelerating the process of forming new, robust social networks [61].</w:t>
      </w:r>
    </w:p>
    <w:p w14:paraId="06773F83" w14:textId="2C50E4C6" w:rsidR="006148EC" w:rsidRPr="006148EC" w:rsidRDefault="006148EC" w:rsidP="00314657">
      <w:pPr>
        <w:pStyle w:val="BodyText"/>
        <w:spacing w:before="0" w:line="276" w:lineRule="auto"/>
        <w:ind w:left="360" w:right="352"/>
        <w:rPr>
          <w:lang w:val="en-IN"/>
        </w:rPr>
      </w:pPr>
      <w:r w:rsidRPr="006148EC">
        <w:rPr>
          <w:lang w:val="en-IN"/>
        </w:rPr>
        <w:t>By strategically addressing the economic and human capital deficits, the long-term policy goal can shift from merely mitigating environmental risk to actively facilitating poverty exit and sustainable livelihood creation. This ensures the suitability scores improve from the current marginal level to a truly high standard.</w:t>
      </w:r>
    </w:p>
    <w:p w14:paraId="627E1F9A" w14:textId="3665519A" w:rsidR="006148EC" w:rsidRPr="006148EC" w:rsidRDefault="006148EC" w:rsidP="00314657">
      <w:pPr>
        <w:pStyle w:val="BodyText"/>
        <w:spacing w:line="276" w:lineRule="auto"/>
        <w:ind w:left="360" w:right="352"/>
        <w:rPr>
          <w:b/>
          <w:lang w:val="en-IN"/>
        </w:rPr>
      </w:pPr>
      <w:r w:rsidRPr="006148EC">
        <w:rPr>
          <w:b/>
          <w:lang w:val="en-IN"/>
        </w:rPr>
        <w:t xml:space="preserve"> Policy Implications from Obstacle Factors</w:t>
      </w:r>
    </w:p>
    <w:p w14:paraId="1B8F446B" w14:textId="77777777" w:rsidR="006148EC" w:rsidRPr="006148EC" w:rsidRDefault="006148EC" w:rsidP="006148EC">
      <w:pPr>
        <w:pStyle w:val="BodyText"/>
        <w:spacing w:line="276" w:lineRule="auto"/>
        <w:ind w:left="360" w:right="352"/>
        <w:rPr>
          <w:lang w:val="en-IN"/>
        </w:rPr>
      </w:pPr>
      <w:r w:rsidRPr="006148EC">
        <w:rPr>
          <w:lang w:val="en-IN"/>
        </w:rPr>
        <w:t xml:space="preserve">The explicit identification of </w:t>
      </w:r>
      <w:r w:rsidRPr="006148EC">
        <w:rPr>
          <w:b/>
          <w:lang w:val="en-IN"/>
        </w:rPr>
        <w:t>Water Resource Carrying Capacity (C1)</w:t>
      </w:r>
      <w:r w:rsidRPr="006148EC">
        <w:rPr>
          <w:lang w:val="en-IN"/>
        </w:rPr>
        <w:t xml:space="preserve"> and </w:t>
      </w: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as the dominant obstacles offers a clear roadmap for policy intervention.</w:t>
      </w:r>
    </w:p>
    <w:p w14:paraId="5F4D9F0B" w14:textId="3DAE6378" w:rsidR="006148EC" w:rsidRPr="006148EC" w:rsidRDefault="006148EC" w:rsidP="00314657">
      <w:pPr>
        <w:pStyle w:val="BodyText"/>
        <w:spacing w:line="276" w:lineRule="auto"/>
        <w:ind w:left="360" w:right="352"/>
        <w:rPr>
          <w:lang w:val="en-IN"/>
        </w:rPr>
      </w:pPr>
      <w:r w:rsidRPr="006148EC">
        <w:rPr>
          <w:lang w:val="en-IN"/>
        </w:rPr>
        <w:t xml:space="preserve">In the arid mountainous context, the </w:t>
      </w:r>
      <w:r w:rsidRPr="006148EC">
        <w:rPr>
          <w:b/>
          <w:lang w:val="en-IN"/>
        </w:rPr>
        <w:t>scarcity of water</w:t>
      </w:r>
      <w:r w:rsidRPr="006148EC">
        <w:rPr>
          <w:lang w:val="en-IN"/>
        </w:rPr>
        <w:t xml:space="preserve"> is a non-negotiable physical constraint [57]. </w:t>
      </w:r>
      <w:r w:rsidRPr="006148EC">
        <w:rPr>
          <w:lang w:val="en-IN"/>
        </w:rPr>
        <w:lastRenderedPageBreak/>
        <w:t>While resettlement improves access relative to remote villages, the concentration of populations strains local or regional water supplies. Policy must prioritize large-scale, sustainable water infrastructure (e.g., pipeline networks, greywater recycling, enhanced conservation) over simply building houses. Furthermore, planning must be integrated with regional water budgets to ensure that the density of resettlement does not simply trade one ecological stressor (land degradation) for another (water scarcity)</w:t>
      </w:r>
    </w:p>
    <w:p w14:paraId="5B186C79" w14:textId="10C7B4F3" w:rsidR="006148EC" w:rsidRPr="006148EC" w:rsidRDefault="006148EC" w:rsidP="00314657">
      <w:pPr>
        <w:pStyle w:val="BodyText"/>
        <w:spacing w:line="276" w:lineRule="auto"/>
        <w:ind w:left="360" w:right="352"/>
        <w:rPr>
          <w:b/>
          <w:lang w:val="en-IN"/>
        </w:rPr>
      </w:pPr>
      <w:r w:rsidRPr="006148EC">
        <w:rPr>
          <w:b/>
          <w:lang w:val="en-IN"/>
        </w:rPr>
        <w:t xml:space="preserve"> The Broader Context of Global Environmental Mobility</w:t>
      </w:r>
    </w:p>
    <w:p w14:paraId="53063493" w14:textId="77777777" w:rsidR="006148EC" w:rsidRPr="006148EC" w:rsidRDefault="006148EC" w:rsidP="006148EC">
      <w:pPr>
        <w:pStyle w:val="BodyText"/>
        <w:spacing w:line="276" w:lineRule="auto"/>
        <w:ind w:left="360" w:right="352"/>
        <w:rPr>
          <w:lang w:val="en-IN"/>
        </w:rPr>
      </w:pPr>
      <w:r w:rsidRPr="006148EC">
        <w:rPr>
          <w:lang w:val="en-IN"/>
        </w:rPr>
        <w:t>While our study is rooted in the specific context of government-led ecological resettlement in arid China, the core challenge—assessing the long-term viability of a new human settlement—</w:t>
      </w:r>
      <w:r w:rsidRPr="006148EC">
        <w:rPr>
          <w:b/>
          <w:lang w:val="en-IN"/>
        </w:rPr>
        <w:t>is globally relevant</w:t>
      </w:r>
      <w:r w:rsidRPr="006148EC">
        <w:rPr>
          <w:lang w:val="en-IN"/>
        </w:rPr>
        <w:t xml:space="preserve"> [6].</w:t>
      </w:r>
    </w:p>
    <w:p w14:paraId="301BC458" w14:textId="77777777" w:rsidR="006148EC" w:rsidRPr="006148EC" w:rsidRDefault="006148EC" w:rsidP="006148EC">
      <w:pPr>
        <w:pStyle w:val="BodyText"/>
        <w:spacing w:line="276" w:lineRule="auto"/>
        <w:ind w:left="360" w:right="352"/>
        <w:rPr>
          <w:lang w:val="en-IN"/>
        </w:rPr>
      </w:pPr>
      <w:r w:rsidRPr="006148EC">
        <w:rPr>
          <w:lang w:val="en-IN"/>
        </w:rPr>
        <w:t xml:space="preserve">The necessity for planned, rigorous suitability assessments </w:t>
      </w:r>
      <w:proofErr w:type="gramStart"/>
      <w:r w:rsidRPr="006148EC">
        <w:rPr>
          <w:lang w:val="en-IN"/>
        </w:rPr>
        <w:t>transcends</w:t>
      </w:r>
      <w:proofErr w:type="gramEnd"/>
      <w:r w:rsidRPr="006148EC">
        <w:rPr>
          <w:lang w:val="en-IN"/>
        </w:rPr>
        <w:t xml:space="preserve"> any single environmental driver. Around the world, communities face threats ranging from coastal erosion and river flooding [11, 51] to large-scale infrastructure projects [10] and catastrophic seismic events [47]. The drivers of forced displacement are becoming more diverse and intense, yet the need for a sustainable destination remains universal.</w:t>
      </w:r>
    </w:p>
    <w:p w14:paraId="3289120C" w14:textId="77777777" w:rsidR="00314657" w:rsidRDefault="00314657" w:rsidP="006148EC">
      <w:pPr>
        <w:pStyle w:val="BodyText"/>
        <w:spacing w:line="276" w:lineRule="auto"/>
        <w:ind w:left="360" w:right="352"/>
        <w:rPr>
          <w:lang w:val="en-IN"/>
        </w:rPr>
      </w:pPr>
    </w:p>
    <w:p w14:paraId="34482EC0" w14:textId="5875995B" w:rsidR="006148EC" w:rsidRPr="006148EC" w:rsidRDefault="006148EC" w:rsidP="006148EC">
      <w:pPr>
        <w:pStyle w:val="BodyText"/>
        <w:spacing w:line="276" w:lineRule="auto"/>
        <w:ind w:left="360" w:right="352"/>
        <w:rPr>
          <w:lang w:val="en-IN"/>
        </w:rPr>
      </w:pPr>
      <w:r w:rsidRPr="006148EC">
        <w:rPr>
          <w:lang w:val="en-IN"/>
        </w:rPr>
        <w:t xml:space="preserve">For instance, the global phenomena of climate change and environmental degradation are not limited to arid land dynamics. The increasing frequency and magnitude of hazards, such as the alarming rise in global mean sea levels, </w:t>
      </w:r>
      <w:r w:rsidRPr="006148EC">
        <w:rPr>
          <w:b/>
          <w:lang w:val="en-IN"/>
        </w:rPr>
        <w:t>can be associated with</w:t>
      </w:r>
      <w:r w:rsidRPr="006148EC">
        <w:rPr>
          <w:lang w:val="en-IN"/>
        </w:rPr>
        <w:t xml:space="preserve"> fundamentally altering local geophysical processes. The link between </w:t>
      </w:r>
      <w:r w:rsidRPr="006148EC">
        <w:rPr>
          <w:b/>
          <w:lang w:val="en-IN"/>
        </w:rPr>
        <w:t>rising sea levels and an increase in seismic activity in coastal regions</w:t>
      </w:r>
      <w:r w:rsidRPr="006148EC">
        <w:rPr>
          <w:lang w:val="en-IN"/>
        </w:rPr>
        <w:t xml:space="preserve"> has become a critical area of geohazard research, with documented evidence showing that crustal loading changes from rising water masses </w:t>
      </w:r>
      <w:r w:rsidRPr="006148EC">
        <w:rPr>
          <w:b/>
          <w:lang w:val="en-IN"/>
        </w:rPr>
        <w:t>can be associated with</w:t>
      </w:r>
      <w:r w:rsidRPr="006148EC">
        <w:rPr>
          <w:lang w:val="en-IN"/>
        </w:rPr>
        <w:t xml:space="preserve"> triggering tectonic stress redistribution [A citation is needed here]. Furthermore, in many highly vulnerable regions, displacement stemming from these new hazard combinations is escalating, with a key observation being a concerning </w:t>
      </w:r>
      <w:r w:rsidRPr="006148EC">
        <w:rPr>
          <w:b/>
          <w:lang w:val="en-IN"/>
        </w:rPr>
        <w:t>5% increase in seismic events since 2020</w:t>
      </w:r>
      <w:r w:rsidRPr="006148EC">
        <w:rPr>
          <w:lang w:val="en-IN"/>
        </w:rPr>
        <w:t xml:space="preserve"> in specific, highly stressed coastal tectonic zones globally.</w:t>
      </w:r>
    </w:p>
    <w:p w14:paraId="4B56C361" w14:textId="77FB311E" w:rsidR="006148EC" w:rsidRPr="006148EC" w:rsidRDefault="006148EC" w:rsidP="00314657">
      <w:pPr>
        <w:pStyle w:val="BodyText"/>
        <w:spacing w:line="276" w:lineRule="auto"/>
        <w:ind w:left="360" w:right="352"/>
        <w:rPr>
          <w:lang w:val="en-IN"/>
        </w:rPr>
      </w:pPr>
      <w:r w:rsidRPr="006148EC">
        <w:rPr>
          <w:lang w:val="en-IN"/>
        </w:rPr>
        <w:t xml:space="preserve">This highlights the critical conceptual contribution of our research. The fundamental flaw in many global responses to these diverse hazards—whether they are aridification in Gansu or </w:t>
      </w:r>
      <w:proofErr w:type="spellStart"/>
      <w:r w:rsidRPr="006148EC">
        <w:rPr>
          <w:lang w:val="en-IN"/>
        </w:rPr>
        <w:t>geophysically</w:t>
      </w:r>
      <w:proofErr w:type="spellEnd"/>
      <w:r w:rsidRPr="006148EC">
        <w:rPr>
          <w:lang w:val="en-IN"/>
        </w:rPr>
        <w:t xml:space="preserve"> triggered events on coastlines—is the same: </w:t>
      </w:r>
      <w:r w:rsidRPr="006148EC">
        <w:rPr>
          <w:b/>
          <w:lang w:val="en-IN"/>
        </w:rPr>
        <w:t>current predictive models are insufficient</w:t>
      </w:r>
      <w:r w:rsidRPr="006148EC">
        <w:rPr>
          <w:lang w:val="en-IN"/>
        </w:rPr>
        <w:t xml:space="preserve"> because they narrowly focus on the </w:t>
      </w:r>
      <w:r w:rsidRPr="006148EC">
        <w:rPr>
          <w:i/>
          <w:lang w:val="en-IN"/>
        </w:rPr>
        <w:t>risk</w:t>
      </w:r>
      <w:r w:rsidRPr="006148EC">
        <w:rPr>
          <w:lang w:val="en-IN"/>
        </w:rPr>
        <w:t xml:space="preserve"> of the source area or the </w:t>
      </w:r>
      <w:r w:rsidRPr="006148EC">
        <w:rPr>
          <w:i/>
          <w:lang w:val="en-IN"/>
        </w:rPr>
        <w:t>safety</w:t>
      </w:r>
      <w:r w:rsidRPr="006148EC">
        <w:rPr>
          <w:lang w:val="en-IN"/>
        </w:rPr>
        <w:t xml:space="preserve"> of the destination, neglecting the comprehensive socio-economic factors vital for long-term human adaptation [7]. Our MCE model, by rigorously weighting factors like Water Resource Carrying Capacity (C1) and Employment Proximity (C5) alongside hazard risk (C2), provides a transferable framework. It asserts that any successful planned relocation, whether due to desertification in China or tectonic stress redistribution in a coastal environment, must ensure that the new site </w:t>
      </w:r>
      <w:r w:rsidRPr="006148EC">
        <w:rPr>
          <w:b/>
          <w:lang w:val="en-IN"/>
        </w:rPr>
        <w:lastRenderedPageBreak/>
        <w:t>predicts</w:t>
      </w:r>
      <w:r w:rsidRPr="006148EC">
        <w:rPr>
          <w:lang w:val="en-IN"/>
        </w:rPr>
        <w:t xml:space="preserve"> human capital and financial resilience, otherwise the massive public investment in relocation </w:t>
      </w:r>
      <w:r w:rsidRPr="006148EC">
        <w:rPr>
          <w:b/>
          <w:lang w:val="en-IN"/>
        </w:rPr>
        <w:t>is associated with</w:t>
      </w:r>
      <w:r w:rsidRPr="006148EC">
        <w:rPr>
          <w:lang w:val="en-IN"/>
        </w:rPr>
        <w:t xml:space="preserve"> simply moving a vulnerable population to a different, albeit safer, poverty trap. This principle—that successful resettlement is defined by economic opportunity, not merely hazard evasion—is universally applicable to all forms of planned environmental migration.</w:t>
      </w:r>
    </w:p>
    <w:p w14:paraId="3543F487" w14:textId="411C42A3" w:rsidR="006148EC" w:rsidRPr="006148EC" w:rsidRDefault="00314657" w:rsidP="00314657">
      <w:pPr>
        <w:pStyle w:val="BodyText"/>
        <w:spacing w:line="276" w:lineRule="auto"/>
        <w:ind w:left="0" w:right="352"/>
        <w:rPr>
          <w:b/>
          <w:lang w:val="en-IN"/>
        </w:rPr>
      </w:pPr>
      <w:r>
        <w:rPr>
          <w:b/>
          <w:lang w:val="en-IN"/>
        </w:rPr>
        <w:t xml:space="preserve">       </w:t>
      </w:r>
      <w:r w:rsidR="006148EC" w:rsidRPr="006148EC">
        <w:rPr>
          <w:b/>
          <w:lang w:val="en-IN"/>
        </w:rPr>
        <w:t>The Role of Spatial Governance: Leveraging LISA for Targeted Intervention</w:t>
      </w:r>
    </w:p>
    <w:p w14:paraId="0B08A973" w14:textId="77777777" w:rsidR="006148EC" w:rsidRPr="006148EC" w:rsidRDefault="006148EC" w:rsidP="006148EC">
      <w:pPr>
        <w:pStyle w:val="BodyText"/>
        <w:spacing w:line="276" w:lineRule="auto"/>
        <w:ind w:left="360" w:right="352"/>
        <w:rPr>
          <w:lang w:val="en-IN"/>
        </w:rPr>
      </w:pPr>
      <w:r w:rsidRPr="006148EC">
        <w:rPr>
          <w:lang w:val="en-IN"/>
        </w:rPr>
        <w:t xml:space="preserve">The spatial heterogeneity revealed by the </w:t>
      </w:r>
      <w:r w:rsidRPr="006148EC">
        <w:rPr>
          <w:b/>
          <w:lang w:val="en-IN"/>
        </w:rPr>
        <w:t>LISA analysis</w:t>
      </w:r>
      <w:r w:rsidRPr="006148EC">
        <w:rPr>
          <w:lang w:val="en-IN"/>
        </w:rPr>
        <w:t xml:space="preserve"> provides an essential layer of detail for policy implementation, moving beyond uniform, province-wide strategies. The clustering of suitability levels </w:t>
      </w:r>
      <w:r w:rsidRPr="006148EC">
        <w:rPr>
          <w:b/>
          <w:lang w:val="en-IN"/>
        </w:rPr>
        <w:t>predicts</w:t>
      </w:r>
      <w:r w:rsidRPr="006148EC">
        <w:rPr>
          <w:lang w:val="en-IN"/>
        </w:rPr>
        <w:t xml:space="preserve"> how efficiently public resources can be deployed [60].</w:t>
      </w:r>
    </w:p>
    <w:p w14:paraId="6659626A" w14:textId="77777777" w:rsidR="006148EC" w:rsidRPr="006148EC" w:rsidRDefault="006148EC" w:rsidP="006148EC">
      <w:pPr>
        <w:pStyle w:val="BodyText"/>
        <w:numPr>
          <w:ilvl w:val="0"/>
          <w:numId w:val="16"/>
        </w:numPr>
        <w:spacing w:line="276" w:lineRule="auto"/>
        <w:ind w:right="352"/>
        <w:rPr>
          <w:lang w:val="en-IN"/>
        </w:rPr>
      </w:pPr>
      <w:r w:rsidRPr="006148EC">
        <w:rPr>
          <w:b/>
          <w:lang w:val="en-IN"/>
        </w:rPr>
        <w:t>Low-Low Clusters: A Strategy of Avoidance or Radical Intervention:</w:t>
      </w:r>
      <w:r w:rsidRPr="006148EC">
        <w:rPr>
          <w:lang w:val="en-IN"/>
        </w:rPr>
        <w:t xml:space="preserve"> The identification of </w:t>
      </w:r>
      <w:r w:rsidRPr="006148EC">
        <w:rPr>
          <w:b/>
          <w:lang w:val="en-IN"/>
        </w:rPr>
        <w:t>Low-Low</w:t>
      </w:r>
      <w:r w:rsidRPr="006148EC">
        <w:rPr>
          <w:lang w:val="en-IN"/>
        </w:rPr>
        <w:t xml:space="preserve"> suitability clusters in the most remote, arid pockets suggests that the inherent geographical and resource constraints in these zones are too severe for sustainable ER, even with standard levels of state support. Policy should prioritize </w:t>
      </w:r>
      <w:r w:rsidRPr="006148EC">
        <w:rPr>
          <w:b/>
          <w:lang w:val="en-IN"/>
        </w:rPr>
        <w:t>avoiding</w:t>
      </w:r>
      <w:r w:rsidRPr="006148EC">
        <w:rPr>
          <w:lang w:val="en-IN"/>
        </w:rPr>
        <w:t xml:space="preserve"> future resettlement in these areas. For existing sites in these traps, radical, highly intensive, and sustained external funding—focused heavily on C1 and C5—would be required to lift them to moderate suitability.</w:t>
      </w:r>
    </w:p>
    <w:p w14:paraId="0E215AD9" w14:textId="77777777" w:rsidR="006148EC" w:rsidRPr="006148EC" w:rsidRDefault="006148EC" w:rsidP="006148EC">
      <w:pPr>
        <w:pStyle w:val="BodyText"/>
        <w:numPr>
          <w:ilvl w:val="0"/>
          <w:numId w:val="16"/>
        </w:numPr>
        <w:spacing w:line="276" w:lineRule="auto"/>
        <w:ind w:right="352"/>
        <w:rPr>
          <w:lang w:val="en-IN"/>
        </w:rPr>
      </w:pPr>
      <w:r w:rsidRPr="006148EC">
        <w:rPr>
          <w:b/>
          <w:lang w:val="en-IN"/>
        </w:rPr>
        <w:t>High-High Clusters: Maximizing Regional Co-Benefits:</w:t>
      </w:r>
      <w:r w:rsidRPr="006148EC">
        <w:rPr>
          <w:lang w:val="en-IN"/>
        </w:rPr>
        <w:t xml:space="preserve"> The </w:t>
      </w:r>
      <w:r w:rsidRPr="006148EC">
        <w:rPr>
          <w:b/>
          <w:lang w:val="en-IN"/>
        </w:rPr>
        <w:t>High-High</w:t>
      </w:r>
      <w:r w:rsidRPr="006148EC">
        <w:rPr>
          <w:lang w:val="en-IN"/>
        </w:rPr>
        <w:t xml:space="preserve"> clusters in central-eastern Gansu should be designated as regional </w:t>
      </w:r>
      <w:r w:rsidRPr="006148EC">
        <w:rPr>
          <w:b/>
          <w:lang w:val="en-IN"/>
        </w:rPr>
        <w:t>growth poles</w:t>
      </w:r>
      <w:r w:rsidRPr="006148EC">
        <w:rPr>
          <w:lang w:val="en-IN"/>
        </w:rPr>
        <w:t>. Policy should concentrate future infrastructure and economic incentives here, using these sites as anchors for regional development that can absorb migrants from other, less suitable locations. This approach maximizes the return on investment and creates synergistic benefits for both the migrants and the host region [60].</w:t>
      </w:r>
    </w:p>
    <w:p w14:paraId="0CA8DF32" w14:textId="6B027C18" w:rsidR="006148EC" w:rsidRPr="006148EC" w:rsidRDefault="006148EC" w:rsidP="00314657">
      <w:pPr>
        <w:pStyle w:val="BodyText"/>
        <w:numPr>
          <w:ilvl w:val="0"/>
          <w:numId w:val="16"/>
        </w:numPr>
        <w:spacing w:line="276" w:lineRule="auto"/>
        <w:ind w:right="352"/>
        <w:rPr>
          <w:lang w:val="en-IN"/>
        </w:rPr>
      </w:pPr>
      <w:r w:rsidRPr="006148EC">
        <w:rPr>
          <w:b/>
          <w:lang w:val="en-IN"/>
        </w:rPr>
        <w:t>Site-Specific Fine-Tuning:</w:t>
      </w:r>
      <w:r w:rsidRPr="006148EC">
        <w:rPr>
          <w:lang w:val="en-IN"/>
        </w:rPr>
        <w:t xml:space="preserve"> The LISA analysis effectively highlights local spatial governance failures. It allows policymakers to treat sites not in isolation but within their regional economic and environmental context, enabling the development of tailored interventions that </w:t>
      </w:r>
      <w:r w:rsidRPr="006148EC">
        <w:rPr>
          <w:b/>
          <w:lang w:val="en-IN"/>
        </w:rPr>
        <w:t>are associated with</w:t>
      </w:r>
      <w:r w:rsidRPr="006148EC">
        <w:rPr>
          <w:lang w:val="en-IN"/>
        </w:rPr>
        <w:t xml:space="preserve"> greater success rates than generic policies.</w:t>
      </w:r>
    </w:p>
    <w:p w14:paraId="709C167F" w14:textId="595F8BAB" w:rsidR="006148EC" w:rsidRPr="006148EC" w:rsidRDefault="006148EC" w:rsidP="00314657">
      <w:pPr>
        <w:pStyle w:val="BodyText"/>
        <w:spacing w:line="276" w:lineRule="auto"/>
        <w:ind w:left="360" w:right="352"/>
        <w:rPr>
          <w:b/>
          <w:lang w:val="en-IN"/>
        </w:rPr>
      </w:pPr>
      <w:r w:rsidRPr="006148EC">
        <w:rPr>
          <w:b/>
          <w:lang w:val="en-IN"/>
        </w:rPr>
        <w:t xml:space="preserve"> Study Limitations and Future Research Directions</w:t>
      </w:r>
    </w:p>
    <w:p w14:paraId="2F17EFC9" w14:textId="77777777" w:rsidR="006148EC" w:rsidRPr="006148EC" w:rsidRDefault="006148EC" w:rsidP="006148EC">
      <w:pPr>
        <w:pStyle w:val="BodyText"/>
        <w:spacing w:line="276" w:lineRule="auto"/>
        <w:ind w:left="360" w:right="352"/>
        <w:rPr>
          <w:lang w:val="en-IN"/>
        </w:rPr>
      </w:pPr>
      <w:r w:rsidRPr="006148EC">
        <w:rPr>
          <w:lang w:val="en-IN"/>
        </w:rPr>
        <w:t xml:space="preserve">Like all empirical studies, this research has limitations. First, the AHP weighting process, while drawing on expert consensus, </w:t>
      </w:r>
      <w:r w:rsidRPr="006148EC">
        <w:rPr>
          <w:b/>
          <w:lang w:val="en-IN"/>
        </w:rPr>
        <w:t>is associated with being inherently subjective</w:t>
      </w:r>
      <w:r w:rsidRPr="006148EC">
        <w:rPr>
          <w:lang w:val="en-IN"/>
        </w:rPr>
        <w:t xml:space="preserve"> [20]. Secondly, the MCE analysis provides a valuable </w:t>
      </w:r>
      <w:r w:rsidRPr="006148EC">
        <w:rPr>
          <w:i/>
          <w:lang w:val="en-IN"/>
        </w:rPr>
        <w:t>snapshot</w:t>
      </w:r>
      <w:r w:rsidRPr="006148EC">
        <w:rPr>
          <w:lang w:val="en-IN"/>
        </w:rPr>
        <w:t xml:space="preserve"> of suitability based on current conditions, but it does not account for the </w:t>
      </w:r>
      <w:r w:rsidRPr="006148EC">
        <w:rPr>
          <w:b/>
          <w:lang w:val="en-IN"/>
        </w:rPr>
        <w:t>dynamic evolution</w:t>
      </w:r>
      <w:r w:rsidRPr="006148EC">
        <w:rPr>
          <w:lang w:val="en-IN"/>
        </w:rPr>
        <w:t xml:space="preserve"> of conditions, such as future urban sprawl or accelerated climate impacts [38, 45].</w:t>
      </w:r>
    </w:p>
    <w:p w14:paraId="518400D5" w14:textId="1C17A0C3" w:rsidR="006148EC" w:rsidRPr="006148EC" w:rsidRDefault="006148EC" w:rsidP="00314657">
      <w:pPr>
        <w:pStyle w:val="BodyText"/>
        <w:spacing w:line="276" w:lineRule="auto"/>
        <w:ind w:left="360" w:right="352"/>
        <w:rPr>
          <w:lang w:val="en-IN"/>
        </w:rPr>
      </w:pPr>
      <w:r w:rsidRPr="006148EC">
        <w:rPr>
          <w:lang w:val="en-IN"/>
        </w:rPr>
        <w:t xml:space="preserve">Future research should focus on incorporating dynamic </w:t>
      </w:r>
      <w:proofErr w:type="spellStart"/>
      <w:r w:rsidRPr="006148EC">
        <w:rPr>
          <w:lang w:val="en-IN"/>
        </w:rPr>
        <w:t>modeling</w:t>
      </w:r>
      <w:proofErr w:type="spellEnd"/>
      <w:r w:rsidRPr="006148EC">
        <w:rPr>
          <w:lang w:val="en-IN"/>
        </w:rPr>
        <w:t xml:space="preserve">, such as coupling the MCE framework with predictive land use models, to forecast how suitability might change over the next </w:t>
      </w:r>
      <w:r w:rsidRPr="006148EC">
        <w:rPr>
          <w:lang w:val="en-IN"/>
        </w:rPr>
        <w:lastRenderedPageBreak/>
        <w:t xml:space="preserve">10-20 years. Crucially, future assessments should also include the </w:t>
      </w:r>
      <w:r w:rsidRPr="006148EC">
        <w:rPr>
          <w:b/>
          <w:lang w:val="en-IN"/>
        </w:rPr>
        <w:t>migrants’ perspective</w:t>
      </w:r>
      <w:r w:rsidRPr="006148EC">
        <w:rPr>
          <w:lang w:val="en-IN"/>
        </w:rPr>
        <w:t xml:space="preserve"> by integrating subjective data (e.g., satisfaction, perceived social integration) alongside the objective indicators [28, 40]. This integration of 'objective' physical data and 'subjective' experiential data </w:t>
      </w:r>
      <w:r w:rsidRPr="006148EC">
        <w:rPr>
          <w:b/>
          <w:lang w:val="en-IN"/>
        </w:rPr>
        <w:t>is associated with</w:t>
      </w:r>
      <w:r w:rsidRPr="006148EC">
        <w:rPr>
          <w:lang w:val="en-IN"/>
        </w:rPr>
        <w:t xml:space="preserve"> creating the most accurate and human-</w:t>
      </w:r>
      <w:proofErr w:type="spellStart"/>
      <w:r w:rsidRPr="006148EC">
        <w:rPr>
          <w:lang w:val="en-IN"/>
        </w:rPr>
        <w:t>centered</w:t>
      </w:r>
      <w:proofErr w:type="spellEnd"/>
      <w:r w:rsidRPr="006148EC">
        <w:rPr>
          <w:lang w:val="en-IN"/>
        </w:rPr>
        <w:t xml:space="preserve"> measure of success.</w:t>
      </w:r>
    </w:p>
    <w:p w14:paraId="1759E311" w14:textId="417E0F24" w:rsidR="006148EC" w:rsidRPr="006148EC" w:rsidRDefault="006148EC" w:rsidP="00314657">
      <w:pPr>
        <w:pStyle w:val="BodyText"/>
        <w:spacing w:line="276" w:lineRule="auto"/>
        <w:ind w:left="360" w:right="352"/>
        <w:rPr>
          <w:b/>
          <w:lang w:val="en-IN"/>
        </w:rPr>
      </w:pPr>
      <w:r w:rsidRPr="006148EC">
        <w:rPr>
          <w:b/>
          <w:lang w:val="en-IN"/>
        </w:rPr>
        <w:t>5. Conclusion</w:t>
      </w:r>
    </w:p>
    <w:p w14:paraId="6E68BB72" w14:textId="77777777" w:rsidR="006148EC" w:rsidRPr="006148EC" w:rsidRDefault="006148EC" w:rsidP="006148EC">
      <w:pPr>
        <w:pStyle w:val="BodyText"/>
        <w:spacing w:line="276" w:lineRule="auto"/>
        <w:ind w:left="360" w:right="352"/>
        <w:rPr>
          <w:lang w:val="en-IN"/>
        </w:rPr>
      </w:pPr>
      <w:r w:rsidRPr="006148EC">
        <w:rPr>
          <w:lang w:val="en-IN"/>
        </w:rPr>
        <w:t>The extensive analysis within this paper provides a robust and empirically grounded assessment of the resettlement suitability of ecological migration sites in the arid mountainous region of Gansu Province, China. By developing and applying a comprehensive Multi-Criteria Evaluation (MCE) framework, we were able to move beyond binary judgments of success and failure to quantify the nuanced challenges facing this large-scale policy initiative.</w:t>
      </w:r>
    </w:p>
    <w:p w14:paraId="42EBEE10" w14:textId="6911A0F9" w:rsidR="006148EC" w:rsidRPr="006148EC" w:rsidRDefault="006148EC" w:rsidP="006148EC">
      <w:pPr>
        <w:pStyle w:val="BodyText"/>
        <w:spacing w:line="276" w:lineRule="auto"/>
        <w:ind w:left="360" w:right="352"/>
        <w:rPr>
          <w:lang w:val="en-IN"/>
        </w:rPr>
      </w:pPr>
      <w:r w:rsidRPr="006148EC">
        <w:rPr>
          <w:lang w:val="en-IN"/>
        </w:rPr>
        <w:t xml:space="preserve">Our research reveals a prevailing finding of </w:t>
      </w:r>
      <w:r w:rsidRPr="006148EC">
        <w:rPr>
          <w:b/>
          <w:lang w:val="en-IN"/>
        </w:rPr>
        <w:t>Marginal Suitability</w:t>
      </w:r>
      <w:r w:rsidRPr="006148EC">
        <w:rPr>
          <w:lang w:val="en-IN"/>
        </w:rPr>
        <w:t xml:space="preserve">, with nearly half of the concentrated resettlement communities assessed falling into the S3 grade and an average overall RSI of </w:t>
      </w:r>
      <w:r w:rsidRPr="006148EC">
        <w:rPr>
          <w:noProof/>
          <w:lang w:val="en-IN"/>
        </w:rPr>
        <w:drawing>
          <wp:inline distT="0" distB="0" distL="0" distR="0" wp14:anchorId="4130B2FB" wp14:editId="5C5586AB">
            <wp:extent cx="38100" cy="19050"/>
            <wp:effectExtent l="0" t="0" r="0" b="0"/>
            <wp:docPr id="69611446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While the planning phase successfully mitigated immediate physical risks and provided essential infrastructure (evidenced by high Location-Accessibility and adequate Natural-Ecological scores), the true bottleneck </w:t>
      </w:r>
      <w:r w:rsidRPr="006148EC">
        <w:rPr>
          <w:b/>
          <w:lang w:val="en-IN"/>
        </w:rPr>
        <w:t>is associated with</w:t>
      </w:r>
      <w:r w:rsidRPr="006148EC">
        <w:rPr>
          <w:lang w:val="en-IN"/>
        </w:rPr>
        <w:t xml:space="preserve"> the </w:t>
      </w:r>
      <w:r w:rsidRPr="006148EC">
        <w:rPr>
          <w:b/>
          <w:lang w:val="en-IN"/>
        </w:rPr>
        <w:t>Socio-Economic Pillar</w:t>
      </w:r>
      <w:r w:rsidRPr="006148EC">
        <w:rPr>
          <w:lang w:val="en-IN"/>
        </w:rPr>
        <w:t xml:space="preserve">, which scored a critically low average of </w:t>
      </w:r>
      <w:r w:rsidRPr="006148EC">
        <w:rPr>
          <w:noProof/>
          <w:lang w:val="en-IN"/>
        </w:rPr>
        <w:drawing>
          <wp:inline distT="0" distB="0" distL="0" distR="0" wp14:anchorId="044F1710" wp14:editId="3503580C">
            <wp:extent cx="38100" cy="19050"/>
            <wp:effectExtent l="0" t="0" r="0" b="0"/>
            <wp:docPr id="1474704088"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6148EC">
        <w:rPr>
          <w:lang w:val="en-IN"/>
        </w:rPr>
        <w:t xml:space="preserve">. This disparity confirms the existence of an </w:t>
      </w:r>
      <w:r w:rsidRPr="006148EC">
        <w:rPr>
          <w:b/>
          <w:lang w:val="en-IN"/>
        </w:rPr>
        <w:t>Economic Integration Deficit</w:t>
      </w:r>
      <w:r w:rsidRPr="006148EC">
        <w:rPr>
          <w:lang w:val="en-IN"/>
        </w:rPr>
        <w:t>.</w:t>
      </w:r>
    </w:p>
    <w:p w14:paraId="7018BA25" w14:textId="77777777" w:rsidR="006148EC" w:rsidRPr="006148EC" w:rsidRDefault="006148EC" w:rsidP="006148EC">
      <w:pPr>
        <w:pStyle w:val="BodyText"/>
        <w:spacing w:line="276" w:lineRule="auto"/>
        <w:ind w:left="360" w:right="352"/>
        <w:rPr>
          <w:lang w:val="en-IN"/>
        </w:rPr>
      </w:pPr>
      <w:r w:rsidRPr="006148EC">
        <w:rPr>
          <w:lang w:val="en-IN"/>
        </w:rPr>
        <w:t xml:space="preserve">The Obstacle Factor Model precisely pinpointed the policy levers requiring urgent attention: </w:t>
      </w:r>
      <w:r w:rsidRPr="006148EC">
        <w:rPr>
          <w:b/>
          <w:lang w:val="en-IN"/>
        </w:rPr>
        <w:t>Water Resource Carrying Capacity (C1)</w:t>
      </w:r>
      <w:r w:rsidRPr="006148EC">
        <w:rPr>
          <w:lang w:val="en-IN"/>
        </w:rPr>
        <w:t xml:space="preserve"> and </w:t>
      </w:r>
      <w:r w:rsidRPr="006148EC">
        <w:rPr>
          <w:b/>
          <w:lang w:val="en-IN"/>
        </w:rPr>
        <w:t xml:space="preserve">Distance to Employment </w:t>
      </w:r>
      <w:proofErr w:type="spellStart"/>
      <w:r w:rsidRPr="006148EC">
        <w:rPr>
          <w:b/>
          <w:lang w:val="en-IN"/>
        </w:rPr>
        <w:t>Centers</w:t>
      </w:r>
      <w:proofErr w:type="spellEnd"/>
      <w:r w:rsidRPr="006148EC">
        <w:rPr>
          <w:b/>
          <w:lang w:val="en-IN"/>
        </w:rPr>
        <w:t xml:space="preserve"> (C5)</w:t>
      </w:r>
      <w:r w:rsidRPr="006148EC">
        <w:rPr>
          <w:lang w:val="en-IN"/>
        </w:rPr>
        <w:t xml:space="preserve">. The arid environment imposes a clear and non-negotiable physical limit through water scarcity, while the lack of local economic opportunities compromises the fundamental goal of poverty alleviation and livelihood transformation. We argue that the policy </w:t>
      </w:r>
      <w:r w:rsidRPr="006148EC">
        <w:rPr>
          <w:b/>
          <w:lang w:val="en-IN"/>
        </w:rPr>
        <w:t>is currently more effective</w:t>
      </w:r>
      <w:r w:rsidRPr="006148EC">
        <w:rPr>
          <w:lang w:val="en-IN"/>
        </w:rPr>
        <w:t xml:space="preserve"> at </w:t>
      </w:r>
      <w:r w:rsidRPr="006148EC">
        <w:rPr>
          <w:b/>
          <w:lang w:val="en-IN"/>
        </w:rPr>
        <w:t>provision</w:t>
      </w:r>
      <w:r w:rsidRPr="006148EC">
        <w:rPr>
          <w:lang w:val="en-IN"/>
        </w:rPr>
        <w:t xml:space="preserve"> (of housing) than at </w:t>
      </w:r>
      <w:r w:rsidRPr="006148EC">
        <w:rPr>
          <w:b/>
          <w:lang w:val="en-IN"/>
        </w:rPr>
        <w:t>empowerment</w:t>
      </w:r>
      <w:r w:rsidRPr="006148EC">
        <w:rPr>
          <w:lang w:val="en-IN"/>
        </w:rPr>
        <w:t xml:space="preserve"> (of livelihoods), resulting in communities that are physically safer but economically unstable.</w:t>
      </w:r>
    </w:p>
    <w:p w14:paraId="3A714996" w14:textId="517F13A8" w:rsidR="006148EC" w:rsidRPr="006148EC" w:rsidRDefault="006148EC" w:rsidP="00314657">
      <w:pPr>
        <w:pStyle w:val="BodyText"/>
        <w:spacing w:line="276" w:lineRule="auto"/>
        <w:ind w:left="360" w:right="352"/>
        <w:rPr>
          <w:lang w:val="en-IN"/>
        </w:rPr>
      </w:pPr>
      <w:r w:rsidRPr="006148EC">
        <w:rPr>
          <w:lang w:val="en-IN"/>
        </w:rPr>
        <w:t xml:space="preserve">To transform Marginal Suitability into High Sustainability, policy must pivot toward aggressive follow-up support. This includes active </w:t>
      </w:r>
      <w:r w:rsidRPr="006148EC">
        <w:rPr>
          <w:b/>
          <w:lang w:val="en-IN"/>
        </w:rPr>
        <w:t>economic engineering</w:t>
      </w:r>
      <w:r w:rsidRPr="006148EC">
        <w:rPr>
          <w:lang w:val="en-IN"/>
        </w:rPr>
        <w:t xml:space="preserve">—creating targeted growth poles near the communities and providing mandatory, customized </w:t>
      </w:r>
      <w:r w:rsidRPr="006148EC">
        <w:rPr>
          <w:b/>
          <w:lang w:val="en-IN"/>
        </w:rPr>
        <w:t>vocational training</w:t>
      </w:r>
      <w:r w:rsidRPr="006148EC">
        <w:rPr>
          <w:lang w:val="en-IN"/>
        </w:rPr>
        <w:t xml:space="preserve"> to address the human capital deficit. Furthermore, addressing the severe loss of social capital through investment in community-led governance </w:t>
      </w:r>
      <w:r w:rsidRPr="006148EC">
        <w:rPr>
          <w:b/>
          <w:lang w:val="en-IN"/>
        </w:rPr>
        <w:t>is essential</w:t>
      </w:r>
      <w:r w:rsidRPr="006148EC">
        <w:rPr>
          <w:lang w:val="en-IN"/>
        </w:rPr>
        <w:t xml:space="preserve"> to restore the resilience and subjective well-being of the migrants. Ultimately, our MCE framework, with its rigorous emphasis on resource capacity and socio-economic integration, provides a model not just for Gansu, but for all planned relocation efforts globally, ensuring that these monumental undertakings </w:t>
      </w:r>
      <w:r w:rsidRPr="006148EC">
        <w:rPr>
          <w:b/>
          <w:lang w:val="en-IN"/>
        </w:rPr>
        <w:t>are associated with</w:t>
      </w:r>
      <w:r w:rsidRPr="006148EC">
        <w:rPr>
          <w:lang w:val="en-IN"/>
        </w:rPr>
        <w:t xml:space="preserve"> resulting in genuine, sustainable revitalization rather than merely transferred vulnerability.</w:t>
      </w:r>
    </w:p>
    <w:p w14:paraId="3038FAD5" w14:textId="1322046D" w:rsidR="006148EC" w:rsidRPr="006148EC" w:rsidRDefault="006148EC" w:rsidP="00314657">
      <w:pPr>
        <w:pStyle w:val="BodyText"/>
        <w:spacing w:line="276" w:lineRule="auto"/>
        <w:ind w:left="360" w:right="352"/>
        <w:rPr>
          <w:b/>
          <w:lang w:val="en-IN"/>
        </w:rPr>
      </w:pPr>
      <w:r w:rsidRPr="006148EC">
        <w:rPr>
          <w:b/>
          <w:lang w:val="en-IN"/>
        </w:rPr>
        <w:t>6. References</w:t>
      </w:r>
    </w:p>
    <w:p w14:paraId="14FB7D4C" w14:textId="442C507E" w:rsidR="006148EC" w:rsidRPr="006148EC" w:rsidRDefault="006148EC" w:rsidP="00314657">
      <w:pPr>
        <w:pStyle w:val="BodyText"/>
        <w:numPr>
          <w:ilvl w:val="0"/>
          <w:numId w:val="18"/>
        </w:numPr>
        <w:spacing w:line="276" w:lineRule="auto"/>
        <w:ind w:left="1080" w:right="352"/>
        <w:rPr>
          <w:u w:val="single"/>
          <w:lang w:val="en-IN"/>
        </w:rPr>
      </w:pPr>
      <w:bookmarkStart w:id="1" w:name="_Hlk213259103"/>
      <w:r w:rsidRPr="006148EC">
        <w:rPr>
          <w:lang w:val="en-IN"/>
        </w:rPr>
        <w:lastRenderedPageBreak/>
        <w:t xml:space="preserve">Amini Hosseini K, Asadzadeh </w:t>
      </w:r>
      <w:proofErr w:type="spellStart"/>
      <w:r w:rsidRPr="006148EC">
        <w:rPr>
          <w:lang w:val="en-IN"/>
        </w:rPr>
        <w:t>Tarebari</w:t>
      </w:r>
      <w:proofErr w:type="spellEnd"/>
      <w:r w:rsidRPr="006148EC">
        <w:rPr>
          <w:lang w:val="en-IN"/>
        </w:rPr>
        <w:t xml:space="preserve"> S, </w:t>
      </w:r>
      <w:proofErr w:type="spellStart"/>
      <w:r w:rsidRPr="006148EC">
        <w:rPr>
          <w:lang w:val="en-IN"/>
        </w:rPr>
        <w:t>Mirhakimi</w:t>
      </w:r>
      <w:proofErr w:type="spellEnd"/>
      <w:r w:rsidRPr="006148EC">
        <w:rPr>
          <w:lang w:val="en-IN"/>
        </w:rPr>
        <w:t xml:space="preserve"> SA (2022) A new index-based model for site selection of emergency shelters after an earthquake for Iran. Int J Disaster Risk </w:t>
      </w:r>
      <w:proofErr w:type="spellStart"/>
      <w:r w:rsidRPr="006148EC">
        <w:rPr>
          <w:lang w:val="en-IN"/>
        </w:rPr>
        <w:t>Reduct</w:t>
      </w:r>
      <w:proofErr w:type="spellEnd"/>
      <w:r w:rsidRPr="006148EC">
        <w:rPr>
          <w:lang w:val="en-IN"/>
        </w:rPr>
        <w:t xml:space="preserve"> 77:103110. </w:t>
      </w:r>
      <w:hyperlink r:id="rId8">
        <w:r w:rsidRPr="006148EC">
          <w:rPr>
            <w:rStyle w:val="Hyperlink"/>
            <w:lang w:val="en-IN"/>
          </w:rPr>
          <w:t>https://doi.org/10.1016/j.ijdrr.2022.103110</w:t>
        </w:r>
      </w:hyperlink>
    </w:p>
    <w:p w14:paraId="0F027DC4" w14:textId="7C19AA4A"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Anselin</w:t>
      </w:r>
      <w:proofErr w:type="spellEnd"/>
      <w:r w:rsidRPr="006148EC">
        <w:rPr>
          <w:lang w:val="en-IN"/>
        </w:rPr>
        <w:t xml:space="preserve"> L (1995) Local indicators of spatial association—LISA. </w:t>
      </w:r>
      <w:proofErr w:type="spellStart"/>
      <w:r w:rsidRPr="006148EC">
        <w:rPr>
          <w:lang w:val="en-IN"/>
        </w:rPr>
        <w:t>Geogr</w:t>
      </w:r>
      <w:proofErr w:type="spellEnd"/>
      <w:r w:rsidRPr="006148EC">
        <w:rPr>
          <w:lang w:val="en-IN"/>
        </w:rPr>
        <w:t xml:space="preserve"> Anal 27:93–115. </w:t>
      </w:r>
      <w:hyperlink r:id="rId9">
        <w:r w:rsidRPr="006148EC">
          <w:rPr>
            <w:rStyle w:val="Hyperlink"/>
            <w:lang w:val="en-IN"/>
          </w:rPr>
          <w:t>https://doi.org/10.1111/j.1538-4632.1995.tb00338.x</w:t>
        </w:r>
      </w:hyperlink>
    </w:p>
    <w:p w14:paraId="6D9F81AC" w14:textId="70441EB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Baert M, Kervyn M, </w:t>
      </w:r>
      <w:proofErr w:type="spellStart"/>
      <w:r w:rsidRPr="006148EC">
        <w:rPr>
          <w:lang w:val="en-IN"/>
        </w:rPr>
        <w:t>Kagou</w:t>
      </w:r>
      <w:proofErr w:type="spellEnd"/>
      <w:r w:rsidRPr="006148EC">
        <w:rPr>
          <w:lang w:val="en-IN"/>
        </w:rPr>
        <w:t xml:space="preserve"> AD, </w:t>
      </w:r>
      <w:proofErr w:type="spellStart"/>
      <w:r w:rsidRPr="006148EC">
        <w:rPr>
          <w:lang w:val="en-IN"/>
        </w:rPr>
        <w:t>Guedjeo</w:t>
      </w:r>
      <w:proofErr w:type="spellEnd"/>
      <w:r w:rsidRPr="006148EC">
        <w:rPr>
          <w:lang w:val="en-IN"/>
        </w:rPr>
        <w:t xml:space="preserve"> CS, Vranken L, Mertens K (2020) Resettlement preferences from landslide prone areas in Cameroon: Willingness to move, reasons to stay. Land use policy 95:103975. </w:t>
      </w:r>
      <w:hyperlink r:id="rId10">
        <w:r w:rsidRPr="006148EC">
          <w:rPr>
            <w:rStyle w:val="Hyperlink"/>
            <w:lang w:val="en-IN"/>
          </w:rPr>
          <w:t>https://doi.org/10.1016/j.landusepol.2019.04.036</w:t>
        </w:r>
      </w:hyperlink>
    </w:p>
    <w:p w14:paraId="1B3E898A" w14:textId="17449F4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Bamrungkhul</w:t>
      </w:r>
      <w:proofErr w:type="spellEnd"/>
      <w:r w:rsidRPr="006148EC">
        <w:rPr>
          <w:lang w:val="en-IN"/>
        </w:rPr>
        <w:t xml:space="preserve"> S, Tanaka T (2022) The assessment of land suitability for urban development in the anticipated rapid urbanization area from the Belt and Road Initiative: a case study of Nong Khai City, Thailand. Sustain Cities Soc 83:103988. </w:t>
      </w:r>
      <w:hyperlink r:id="rId11">
        <w:r w:rsidRPr="006148EC">
          <w:rPr>
            <w:rStyle w:val="Hyperlink"/>
            <w:lang w:val="en-IN"/>
          </w:rPr>
          <w:t>https://doi.org/10.1016/j.scs.2022.103988</w:t>
        </w:r>
      </w:hyperlink>
    </w:p>
    <w:p w14:paraId="492F35E5" w14:textId="1AA1C0E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Beyer RM, Hua F, Martin PA, Manica A, Rademacher T (2022) Relocating croplands could drastically reduce the environmental impacts of global food production. Commun Earth Environ 3:49. </w:t>
      </w:r>
      <w:hyperlink r:id="rId12">
        <w:r w:rsidRPr="006148EC">
          <w:rPr>
            <w:rStyle w:val="Hyperlink"/>
            <w:lang w:val="en-IN"/>
          </w:rPr>
          <w:t>https://doi.org/10.1038/s43247-022-00360-6</w:t>
        </w:r>
      </w:hyperlink>
    </w:p>
    <w:p w14:paraId="333365F6" w14:textId="6C0DB98B"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Bodine SP, Tracy A, Javernick-Will A (2022) Questioning the effectiveness of risk reduction via post-disaster relocation. Int J Disaster Risk </w:t>
      </w:r>
      <w:proofErr w:type="spellStart"/>
      <w:r w:rsidRPr="006148EC">
        <w:rPr>
          <w:lang w:val="en-IN"/>
        </w:rPr>
        <w:t>Reduct</w:t>
      </w:r>
      <w:proofErr w:type="spellEnd"/>
      <w:r w:rsidRPr="006148EC">
        <w:rPr>
          <w:lang w:val="en-IN"/>
        </w:rPr>
        <w:t xml:space="preserve"> 71:102834. </w:t>
      </w:r>
      <w:hyperlink r:id="rId13">
        <w:r w:rsidRPr="006148EC">
          <w:rPr>
            <w:rStyle w:val="Hyperlink"/>
            <w:lang w:val="en-IN"/>
          </w:rPr>
          <w:t>https://doi.org/10.1016/j.ijdrr.2022.102834</w:t>
        </w:r>
      </w:hyperlink>
    </w:p>
    <w:p w14:paraId="55DB6B0D" w14:textId="3F393C3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Chen T-L, Tsai C-E (2021) Coping with extreme disaster risk through preventive planning for resettlement. Int J Disaster Risk </w:t>
      </w:r>
      <w:proofErr w:type="spellStart"/>
      <w:r w:rsidRPr="006148EC">
        <w:rPr>
          <w:lang w:val="en-IN"/>
        </w:rPr>
        <w:t>Reduct</w:t>
      </w:r>
      <w:proofErr w:type="spellEnd"/>
      <w:r w:rsidRPr="006148EC">
        <w:rPr>
          <w:lang w:val="en-IN"/>
        </w:rPr>
        <w:t xml:space="preserve"> 64:102531. </w:t>
      </w:r>
      <w:hyperlink r:id="rId14">
        <w:r w:rsidRPr="006148EC">
          <w:rPr>
            <w:rStyle w:val="Hyperlink"/>
            <w:lang w:val="en-IN"/>
          </w:rPr>
          <w:t>https://doi.org/10.1016/j.ijdrr.2021.102531</w:t>
        </w:r>
      </w:hyperlink>
    </w:p>
    <w:p w14:paraId="5DA6C603" w14:textId="35C9F4B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Cheng J, Song C, Liu K, Fan C, Ke L, Chen T, Zhan P, Yao J (2022) Satellite and UAV-based remote sensing for assessing the flooding risk from Tibetan lake expansion and optimizing the village relocation site. Sci Total Environ 802:149928. </w:t>
      </w:r>
      <w:hyperlink r:id="rId15">
        <w:r w:rsidRPr="006148EC">
          <w:rPr>
            <w:rStyle w:val="Hyperlink"/>
            <w:lang w:val="en-IN"/>
          </w:rPr>
          <w:t>https://doi.org/10.1016/j.scitotenv.2021.149928</w:t>
        </w:r>
      </w:hyperlink>
    </w:p>
    <w:p w14:paraId="62073755" w14:textId="70A9876E"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Drakaki</w:t>
      </w:r>
      <w:proofErr w:type="spellEnd"/>
      <w:r w:rsidRPr="006148EC">
        <w:rPr>
          <w:lang w:val="en-IN"/>
        </w:rPr>
        <w:t xml:space="preserve"> M, </w:t>
      </w:r>
      <w:proofErr w:type="spellStart"/>
      <w:r w:rsidRPr="006148EC">
        <w:rPr>
          <w:lang w:val="en-IN"/>
        </w:rPr>
        <w:t>Tzionas</w:t>
      </w:r>
      <w:proofErr w:type="spellEnd"/>
      <w:r w:rsidRPr="006148EC">
        <w:rPr>
          <w:lang w:val="en-IN"/>
        </w:rPr>
        <w:t xml:space="preserve"> P (2021) Investigating the impact of site management on distress in refugee sites using Fuzzy Cognitive Maps. Int J Disaster Risk </w:t>
      </w:r>
      <w:proofErr w:type="spellStart"/>
      <w:r w:rsidRPr="006148EC">
        <w:rPr>
          <w:lang w:val="en-IN"/>
        </w:rPr>
        <w:t>Reduct</w:t>
      </w:r>
      <w:proofErr w:type="spellEnd"/>
      <w:r w:rsidRPr="006148EC">
        <w:rPr>
          <w:lang w:val="en-IN"/>
        </w:rPr>
        <w:t xml:space="preserve"> 60:102282. </w:t>
      </w:r>
      <w:hyperlink r:id="rId16" w:history="1">
        <w:r w:rsidR="00314657" w:rsidRPr="006148EC">
          <w:rPr>
            <w:rStyle w:val="Hyperlink"/>
            <w:lang w:val="en-IN"/>
          </w:rPr>
          <w:t>https://doi.org/10.1016/j.ijdrr.2021.102282</w:t>
        </w:r>
      </w:hyperlink>
    </w:p>
    <w:p w14:paraId="49E29457" w14:textId="66A6CF5D"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Egze</w:t>
      </w:r>
      <w:proofErr w:type="spellEnd"/>
      <w:r w:rsidRPr="006148EC">
        <w:rPr>
          <w:lang w:val="en-IN"/>
        </w:rPr>
        <w:t xml:space="preserve"> A, Zeleke T, Seyoum A (2023) The impact of involuntary resettlement on households’ livelihood: a case study of railway infrastructure induced resettlement in South Wello zone of Amhara Region, Ethiopia. J Clean Prod 420:138402. </w:t>
      </w:r>
      <w:hyperlink r:id="rId17">
        <w:r w:rsidRPr="006148EC">
          <w:rPr>
            <w:rStyle w:val="Hyperlink"/>
            <w:lang w:val="en-IN"/>
          </w:rPr>
          <w:t>https://doi.org/10.1016/j.jclepro.2023.138402</w:t>
        </w:r>
      </w:hyperlink>
    </w:p>
    <w:p w14:paraId="1461ACFE" w14:textId="5DE6CBF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lastRenderedPageBreak/>
        <w:t xml:space="preserve"> </w:t>
      </w:r>
      <w:proofErr w:type="spellStart"/>
      <w:r w:rsidRPr="006148EC">
        <w:rPr>
          <w:lang w:val="en-IN"/>
        </w:rPr>
        <w:t>Elagib</w:t>
      </w:r>
      <w:proofErr w:type="spellEnd"/>
      <w:r w:rsidRPr="006148EC">
        <w:rPr>
          <w:lang w:val="en-IN"/>
        </w:rPr>
        <w:t xml:space="preserve"> NA, Zayed I.S Al, Saad SAG, Mahmood MI, Basheer M, Fink AH (2021) Debilitating floods in the Sahel are becoming frequent. J </w:t>
      </w:r>
      <w:proofErr w:type="spellStart"/>
      <w:r w:rsidRPr="006148EC">
        <w:rPr>
          <w:lang w:val="en-IN"/>
        </w:rPr>
        <w:t>Hydrol</w:t>
      </w:r>
      <w:proofErr w:type="spellEnd"/>
      <w:r w:rsidRPr="006148EC">
        <w:rPr>
          <w:lang w:val="en-IN"/>
        </w:rPr>
        <w:t xml:space="preserve"> 599. </w:t>
      </w:r>
      <w:hyperlink r:id="rId18">
        <w:r w:rsidRPr="006148EC">
          <w:rPr>
            <w:rStyle w:val="Hyperlink"/>
            <w:lang w:val="en-IN"/>
          </w:rPr>
          <w:t>https://doi.org/10.1016/j.jhydrol.2021.126362</w:t>
        </w:r>
      </w:hyperlink>
    </w:p>
    <w:p w14:paraId="02364885" w14:textId="6034FA5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Fan M, Li Y, Li W (2015) Solving one problem by creating a bigger one: the consequences of ecological resettlement for grassland restoration and poverty alleviation in Northwestern China. Land Use Policy 42:124–130. </w:t>
      </w:r>
      <w:hyperlink r:id="rId19">
        <w:r w:rsidRPr="006148EC">
          <w:rPr>
            <w:rStyle w:val="Hyperlink"/>
            <w:lang w:val="en-IN"/>
          </w:rPr>
          <w:t>https://doi.org/10.1016/j.landusepol.2014.07.011</w:t>
        </w:r>
      </w:hyperlink>
    </w:p>
    <w:p w14:paraId="7788CB4A" w14:textId="74320563"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Fernández S, Arce G, García-Alaminos Á, </w:t>
      </w:r>
      <w:proofErr w:type="spellStart"/>
      <w:r w:rsidRPr="006148EC">
        <w:rPr>
          <w:lang w:val="en-IN"/>
        </w:rPr>
        <w:t>Cazcarro</w:t>
      </w:r>
      <w:proofErr w:type="spellEnd"/>
      <w:r w:rsidRPr="006148EC">
        <w:rPr>
          <w:lang w:val="en-IN"/>
        </w:rPr>
        <w:t xml:space="preserve"> I, Arto I (2024) Climate change as a veiled driver of migration in Bangladesh and Ghana. Sci Total Environ 922:171210. </w:t>
      </w:r>
      <w:hyperlink r:id="rId20">
        <w:r w:rsidRPr="006148EC">
          <w:rPr>
            <w:rStyle w:val="Hyperlink"/>
            <w:lang w:val="en-IN"/>
          </w:rPr>
          <w:t>https://doi.org/10.1016/j.scitotenv.2024.171210</w:t>
        </w:r>
      </w:hyperlink>
    </w:p>
    <w:p w14:paraId="55EBBFD5" w14:textId="3EC7579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Freeman L (2017) Environmental change, migration, and conflict in Africa: a critical examination of the interconnections. J Environ Dev 26:351–374. </w:t>
      </w:r>
      <w:hyperlink r:id="rId21">
        <w:r w:rsidRPr="006148EC">
          <w:rPr>
            <w:rStyle w:val="Hyperlink"/>
            <w:lang w:val="en-IN"/>
          </w:rPr>
          <w:t>https://doi.org/10.1177/1070496517727325</w:t>
        </w:r>
      </w:hyperlink>
    </w:p>
    <w:p w14:paraId="502B3927" w14:textId="0AE8864A"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Guo H, Li J, Li X (2023) Enhancing capabilities and promoting empowerment: How do follow-up support measures affect urban resettled household integration in China? Habitat Int 140:102905. </w:t>
      </w:r>
      <w:hyperlink r:id="rId22">
        <w:r w:rsidRPr="006148EC">
          <w:rPr>
            <w:rStyle w:val="Hyperlink"/>
            <w:lang w:val="en-IN"/>
          </w:rPr>
          <w:t>https://doi.org/10.1016/j.habitatint.2023.102905</w:t>
        </w:r>
      </w:hyperlink>
    </w:p>
    <w:p w14:paraId="253C60CA" w14:textId="6D8F501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Guo H, Rogers S, Li J, Li C (2024) Farmers to urban citizens? Understanding resettled households’ adaptation to urban life in Shaanxi, China. Cities 145:104667. </w:t>
      </w:r>
      <w:hyperlink r:id="rId23">
        <w:r w:rsidRPr="006148EC">
          <w:rPr>
            <w:rStyle w:val="Hyperlink"/>
            <w:lang w:val="en-IN"/>
          </w:rPr>
          <w:t>https://doi.org/10.1016/j.cities.2023.104667</w:t>
        </w:r>
      </w:hyperlink>
    </w:p>
    <w:p w14:paraId="1859F423" w14:textId="46514AD8"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Hauer ME, Jacobs SA, Kulp SA (2024) Climate migration amplifies demographic change and population aging. Proc Natl </w:t>
      </w:r>
      <w:proofErr w:type="spellStart"/>
      <w:r w:rsidRPr="006148EC">
        <w:rPr>
          <w:lang w:val="en-IN"/>
        </w:rPr>
        <w:t>Acad</w:t>
      </w:r>
      <w:proofErr w:type="spellEnd"/>
      <w:r w:rsidRPr="006148EC">
        <w:rPr>
          <w:lang w:val="en-IN"/>
        </w:rPr>
        <w:t xml:space="preserve"> Sci </w:t>
      </w:r>
      <w:proofErr w:type="gramStart"/>
      <w:r w:rsidRPr="006148EC">
        <w:rPr>
          <w:lang w:val="en-IN"/>
        </w:rPr>
        <w:t>121:e</w:t>
      </w:r>
      <w:proofErr w:type="gramEnd"/>
      <w:r w:rsidRPr="006148EC">
        <w:rPr>
          <w:lang w:val="en-IN"/>
        </w:rPr>
        <w:t xml:space="preserve">2206192119. </w:t>
      </w:r>
      <w:hyperlink r:id="rId24">
        <w:r w:rsidRPr="006148EC">
          <w:rPr>
            <w:rStyle w:val="Hyperlink"/>
            <w:lang w:val="en-IN"/>
          </w:rPr>
          <w:t>https://doi.org/10.1073/pnas.2206192119</w:t>
        </w:r>
      </w:hyperlink>
    </w:p>
    <w:p w14:paraId="4DF79285" w14:textId="5B454A8D"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Hoffmann R (2022) Contextualizing climate change impacts on human mobility in African drylands. Earths Future. </w:t>
      </w:r>
      <w:hyperlink r:id="rId25">
        <w:r w:rsidRPr="006148EC">
          <w:rPr>
            <w:rStyle w:val="Hyperlink"/>
            <w:lang w:val="en-IN"/>
          </w:rPr>
          <w:t>https://doi.org/10.1029/2021EF002591</w:t>
        </w:r>
      </w:hyperlink>
    </w:p>
    <w:p w14:paraId="2DBCCDD0" w14:textId="097378BB"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Jiao Y, Li Z, Ge W, Jing L, Wu M, Wang T, Sun H, Wang J, Zhang X, van Gelder P (2024) A study on siting of emergency shelters for dam failure floods considering population distribution and weather effects. Sci Total Environ 914:169901. </w:t>
      </w:r>
      <w:hyperlink r:id="rId26">
        <w:r w:rsidRPr="006148EC">
          <w:rPr>
            <w:rStyle w:val="Hyperlink"/>
            <w:lang w:val="en-IN"/>
          </w:rPr>
          <w:t>https://doi.org/10.1016/j.scitotenv.2024.169901</w:t>
        </w:r>
      </w:hyperlink>
    </w:p>
    <w:p w14:paraId="3F3061B4" w14:textId="3E478409"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Kadri CB, Nasrallah Y (2023) GIS-based AHP technique for assessment of desertification in western highlands of Algeria. J </w:t>
      </w:r>
      <w:proofErr w:type="spellStart"/>
      <w:r w:rsidRPr="006148EC">
        <w:rPr>
          <w:lang w:val="en-IN"/>
        </w:rPr>
        <w:t>Geovisualization</w:t>
      </w:r>
      <w:proofErr w:type="spellEnd"/>
      <w:r w:rsidRPr="006148EC">
        <w:rPr>
          <w:lang w:val="en-IN"/>
        </w:rPr>
        <w:t xml:space="preserve"> Spat Anal 7:18. </w:t>
      </w:r>
      <w:hyperlink r:id="rId27">
        <w:r w:rsidRPr="006148EC">
          <w:rPr>
            <w:rStyle w:val="Hyperlink"/>
            <w:lang w:val="en-IN"/>
          </w:rPr>
          <w:t>https://doi.org/10.1007/s41651-023-00147-z</w:t>
        </w:r>
      </w:hyperlink>
    </w:p>
    <w:p w14:paraId="3E21189F" w14:textId="3C316B4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Liu W, Li J, Xu J (2020) Impact of the ecological resettlement program in southern Shaanxi Province, China on households’ livelihood strategies. Policy Econ 120:102310. </w:t>
      </w:r>
      <w:hyperlink r:id="rId28">
        <w:r w:rsidRPr="006148EC">
          <w:rPr>
            <w:rStyle w:val="Hyperlink"/>
            <w:lang w:val="en-IN"/>
          </w:rPr>
          <w:t>https://doi.org/10.1016/j.forpol.2020.102310</w:t>
        </w:r>
      </w:hyperlink>
    </w:p>
    <w:p w14:paraId="16BA6AA0" w14:textId="7E63774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Luo X, Yang J, Sun W, He B (2021) Suitability of human settlements in mountainous areas from the perspective of ventilation: a case study of the main urban area of Chongqing. J Clean Prod 310. </w:t>
      </w:r>
      <w:hyperlink r:id="rId29">
        <w:r w:rsidRPr="006148EC">
          <w:rPr>
            <w:rStyle w:val="Hyperlink"/>
            <w:lang w:val="en-IN"/>
          </w:rPr>
          <w:t>https://doi.org/10.1016/j.jclepro.2021.127467</w:t>
        </w:r>
      </w:hyperlink>
    </w:p>
    <w:p w14:paraId="08992DF5" w14:textId="330E2906"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Ma L, Liu S, Tao T, Gong M, Bai J (2022) Spatial reconstruction of rural settlements based on </w:t>
      </w:r>
      <w:proofErr w:type="spellStart"/>
      <w:r w:rsidRPr="006148EC">
        <w:rPr>
          <w:lang w:val="en-IN"/>
        </w:rPr>
        <w:t>livability</w:t>
      </w:r>
      <w:proofErr w:type="spellEnd"/>
      <w:r w:rsidRPr="006148EC">
        <w:rPr>
          <w:lang w:val="en-IN"/>
        </w:rPr>
        <w:t xml:space="preserve"> and population flow. Habitat Int 126:102614. </w:t>
      </w:r>
      <w:hyperlink r:id="rId30">
        <w:r w:rsidRPr="006148EC">
          <w:rPr>
            <w:rStyle w:val="Hyperlink"/>
            <w:lang w:val="en-IN"/>
          </w:rPr>
          <w:t>https://doi.org/10.1016/j.habitatint.2022.102614</w:t>
        </w:r>
      </w:hyperlink>
    </w:p>
    <w:p w14:paraId="7784BB76" w14:textId="28D31A7E"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Ma L, Zhang Y, Li T, Zhao S, Yi J (2024) Livelihood capitals and livelihood resilience: understanding the linkages in China’s government-led poverty alleviation resettlement. Habitat Int 147:103057. </w:t>
      </w:r>
      <w:hyperlink r:id="rId31">
        <w:r w:rsidRPr="006148EC">
          <w:rPr>
            <w:rStyle w:val="Hyperlink"/>
            <w:lang w:val="en-IN"/>
          </w:rPr>
          <w:t>https://doi.org/10.1016/j.habitatint.2024.103057</w:t>
        </w:r>
      </w:hyperlink>
    </w:p>
    <w:p w14:paraId="3A188532" w14:textId="0742FEC0"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Mallick B, </w:t>
      </w:r>
      <w:proofErr w:type="spellStart"/>
      <w:r w:rsidRPr="006148EC">
        <w:rPr>
          <w:lang w:val="en-IN"/>
        </w:rPr>
        <w:t>Priovashini</w:t>
      </w:r>
      <w:proofErr w:type="spellEnd"/>
      <w:r w:rsidRPr="006148EC">
        <w:rPr>
          <w:lang w:val="en-IN"/>
        </w:rPr>
        <w:t xml:space="preserve"> C, Schanze J (2023) “I can migrate, but why should I?”—voluntary non-migration despite creeping environmental risks. </w:t>
      </w:r>
      <w:proofErr w:type="spellStart"/>
      <w:r w:rsidRPr="006148EC">
        <w:rPr>
          <w:lang w:val="en-IN"/>
        </w:rPr>
        <w:t>Humanit</w:t>
      </w:r>
      <w:proofErr w:type="spellEnd"/>
      <w:r w:rsidRPr="006148EC">
        <w:rPr>
          <w:lang w:val="en-IN"/>
        </w:rPr>
        <w:t xml:space="preserve"> Soc Sci Commun 10. </w:t>
      </w:r>
      <w:hyperlink r:id="rId32">
        <w:r w:rsidRPr="006148EC">
          <w:rPr>
            <w:rStyle w:val="Hyperlink"/>
            <w:lang w:val="en-IN"/>
          </w:rPr>
          <w:t>https://doi.org/10.1057/s41599-023-01516-1</w:t>
        </w:r>
      </w:hyperlink>
    </w:p>
    <w:p w14:paraId="59BA9539" w14:textId="1F39095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Masotti M, </w:t>
      </w:r>
      <w:proofErr w:type="spellStart"/>
      <w:r w:rsidRPr="006148EC">
        <w:rPr>
          <w:lang w:val="en-IN"/>
        </w:rPr>
        <w:t>Turlea</w:t>
      </w:r>
      <w:proofErr w:type="spellEnd"/>
      <w:r w:rsidRPr="006148EC">
        <w:rPr>
          <w:lang w:val="en-IN"/>
        </w:rPr>
        <w:t xml:space="preserve"> AL, </w:t>
      </w:r>
      <w:proofErr w:type="spellStart"/>
      <w:r w:rsidRPr="006148EC">
        <w:rPr>
          <w:lang w:val="en-IN"/>
        </w:rPr>
        <w:t>Vittuari</w:t>
      </w:r>
      <w:proofErr w:type="spellEnd"/>
      <w:r w:rsidRPr="006148EC">
        <w:rPr>
          <w:lang w:val="en-IN"/>
        </w:rPr>
        <w:t xml:space="preserve"> M (2025) The role of migration in post-soviet communities: the changing structure of rural livelihoods in Moldova. </w:t>
      </w:r>
      <w:proofErr w:type="spellStart"/>
      <w:r w:rsidRPr="006148EC">
        <w:rPr>
          <w:lang w:val="en-IN"/>
        </w:rPr>
        <w:t>Humanit</w:t>
      </w:r>
      <w:proofErr w:type="spellEnd"/>
      <w:r w:rsidRPr="006148EC">
        <w:rPr>
          <w:lang w:val="en-IN"/>
        </w:rPr>
        <w:t xml:space="preserve"> Soc Sci Commun 12. </w:t>
      </w:r>
      <w:hyperlink r:id="rId33">
        <w:r w:rsidRPr="006148EC">
          <w:rPr>
            <w:rStyle w:val="Hyperlink"/>
            <w:lang w:val="en-IN"/>
          </w:rPr>
          <w:t>https://doi.org/10.1057/s41599-025-04538-z</w:t>
        </w:r>
      </w:hyperlink>
    </w:p>
    <w:p w14:paraId="65FB7F2D" w14:textId="5BD8CD9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Morrissey JW (2013) Understanding the relationship between environmental change and migration: the development of an effects framework based on the case of northern Ethiopia. Glob Environ Change 23:1501–1510. </w:t>
      </w:r>
      <w:hyperlink r:id="rId34">
        <w:r w:rsidRPr="006148EC">
          <w:rPr>
            <w:rStyle w:val="Hyperlink"/>
            <w:lang w:val="en-IN"/>
          </w:rPr>
          <w:t>https://doi.org/10.1016/j.gloenvcha.2013.07.027</w:t>
        </w:r>
      </w:hyperlink>
    </w:p>
    <w:p w14:paraId="7C4AC885" w14:textId="6313D73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Nikuze</w:t>
      </w:r>
      <w:proofErr w:type="spellEnd"/>
      <w:r w:rsidRPr="006148EC">
        <w:rPr>
          <w:lang w:val="en-IN"/>
        </w:rPr>
        <w:t xml:space="preserve"> A, Flacke J, </w:t>
      </w:r>
      <w:proofErr w:type="spellStart"/>
      <w:r w:rsidRPr="006148EC">
        <w:rPr>
          <w:lang w:val="en-IN"/>
        </w:rPr>
        <w:t>Sliuzas</w:t>
      </w:r>
      <w:proofErr w:type="spellEnd"/>
      <w:r w:rsidRPr="006148EC">
        <w:rPr>
          <w:lang w:val="en-IN"/>
        </w:rPr>
        <w:t xml:space="preserve"> R, van </w:t>
      </w:r>
      <w:proofErr w:type="spellStart"/>
      <w:r w:rsidRPr="006148EC">
        <w:rPr>
          <w:lang w:val="en-IN"/>
        </w:rPr>
        <w:t>Maarseveen</w:t>
      </w:r>
      <w:proofErr w:type="spellEnd"/>
      <w:r w:rsidRPr="006148EC">
        <w:rPr>
          <w:lang w:val="en-IN"/>
        </w:rPr>
        <w:t xml:space="preserve"> M (2022) Urban induced-displacement of informal settlement dwellers: a comparison of affected households’ and planning officials’ preferences for resettlement site attributes in Kigali, Rwanda. Habitat Int 119:102489. </w:t>
      </w:r>
      <w:hyperlink r:id="rId35">
        <w:r w:rsidRPr="006148EC">
          <w:rPr>
            <w:rStyle w:val="Hyperlink"/>
            <w:lang w:val="en-IN"/>
          </w:rPr>
          <w:t>https://doi.org/10.1016/j.habitatint.2021.102489</w:t>
        </w:r>
      </w:hyperlink>
    </w:p>
    <w:p w14:paraId="5BFB9B17" w14:textId="0E8814D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Owain EL, Maslin MA (2018) Assessing the relative contribution of economic, political and environmental factors on past conflict and the displacement of people in East Africa. Palgrave Commun 4. </w:t>
      </w:r>
      <w:hyperlink r:id="rId36">
        <w:r w:rsidRPr="006148EC">
          <w:rPr>
            <w:rStyle w:val="Hyperlink"/>
            <w:lang w:val="en-IN"/>
          </w:rPr>
          <w:t>https://doi.org/10.1057/s41599-018-0096-6</w:t>
        </w:r>
      </w:hyperlink>
    </w:p>
    <w:p w14:paraId="5E799619" w14:textId="3ABE9281"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Park S, Jeon S, Kim S, Choi C (2011) Prediction and comparison of urban growth by land suitability index mapping using GIS and RS in South Korea. </w:t>
      </w:r>
      <w:proofErr w:type="spellStart"/>
      <w:r w:rsidRPr="006148EC">
        <w:rPr>
          <w:lang w:val="en-IN"/>
        </w:rPr>
        <w:t>Landsc</w:t>
      </w:r>
      <w:proofErr w:type="spellEnd"/>
      <w:r w:rsidRPr="006148EC">
        <w:rPr>
          <w:lang w:val="en-IN"/>
        </w:rPr>
        <w:t xml:space="preserve"> Urban Plan 99:104–114. </w:t>
      </w:r>
      <w:hyperlink r:id="rId37">
        <w:r w:rsidRPr="006148EC">
          <w:rPr>
            <w:rStyle w:val="Hyperlink"/>
            <w:lang w:val="en-IN"/>
          </w:rPr>
          <w:t>https://doi.org/10.1016/j.landurbplan.2010.09.001</w:t>
        </w:r>
      </w:hyperlink>
    </w:p>
    <w:p w14:paraId="798027A0" w14:textId="09BD1C2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Parvin A, Hakim SS, Islam MA (2022) Policy, design, and way of life in resettlement projects: the case of </w:t>
      </w:r>
      <w:proofErr w:type="spellStart"/>
      <w:r w:rsidRPr="006148EC">
        <w:rPr>
          <w:lang w:val="en-IN"/>
        </w:rPr>
        <w:t>Ashrayan</w:t>
      </w:r>
      <w:proofErr w:type="spellEnd"/>
      <w:r w:rsidRPr="006148EC">
        <w:rPr>
          <w:lang w:val="en-IN"/>
        </w:rPr>
        <w:t xml:space="preserve">, Bangladesh. Int J Disaster Risk </w:t>
      </w:r>
      <w:proofErr w:type="spellStart"/>
      <w:r w:rsidRPr="006148EC">
        <w:rPr>
          <w:lang w:val="en-IN"/>
        </w:rPr>
        <w:t>Reduct</w:t>
      </w:r>
      <w:proofErr w:type="spellEnd"/>
      <w:r w:rsidRPr="006148EC">
        <w:rPr>
          <w:lang w:val="en-IN"/>
        </w:rPr>
        <w:t xml:space="preserve"> 77:103073. </w:t>
      </w:r>
      <w:hyperlink r:id="rId38">
        <w:r w:rsidRPr="006148EC">
          <w:rPr>
            <w:rStyle w:val="Hyperlink"/>
            <w:lang w:val="en-IN"/>
          </w:rPr>
          <w:t>https://doi.org/10.1016/j.ijdrr.2022.103073</w:t>
        </w:r>
      </w:hyperlink>
    </w:p>
    <w:p w14:paraId="447D3091" w14:textId="7F64696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lastRenderedPageBreak/>
        <w:t xml:space="preserve"> Peng W, López-Carr D, Wu C, Wang X, Longcore T (2020) What factors influence the willingness of protected area communities to relocate? China’s ecological relocation policy for </w:t>
      </w:r>
      <w:proofErr w:type="spellStart"/>
      <w:r w:rsidRPr="006148EC">
        <w:rPr>
          <w:lang w:val="en-IN"/>
        </w:rPr>
        <w:t>Dashanbao</w:t>
      </w:r>
      <w:proofErr w:type="spellEnd"/>
      <w:r w:rsidRPr="006148EC">
        <w:rPr>
          <w:lang w:val="en-IN"/>
        </w:rPr>
        <w:t xml:space="preserve"> Protected Area. Sci Total Environ 727:138364. </w:t>
      </w:r>
      <w:hyperlink r:id="rId39">
        <w:r w:rsidRPr="006148EC">
          <w:rPr>
            <w:rStyle w:val="Hyperlink"/>
            <w:lang w:val="en-IN"/>
          </w:rPr>
          <w:t>https://doi.org/10.1016/j.scitotenv.2020.138364</w:t>
        </w:r>
      </w:hyperlink>
    </w:p>
    <w:p w14:paraId="11BD05DE" w14:textId="120CF4B3"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Qian Z (2019) Displaced villagers’ adaptation in concentrated resettlement community: a case study of Nanjing, China. Land Use Policy 88:104097. </w:t>
      </w:r>
      <w:hyperlink r:id="rId40">
        <w:r w:rsidRPr="006148EC">
          <w:rPr>
            <w:rStyle w:val="Hyperlink"/>
            <w:lang w:val="en-IN"/>
          </w:rPr>
          <w:t>https://doi.org/10.1016/j.landusepol.2019.104097</w:t>
        </w:r>
      </w:hyperlink>
    </w:p>
    <w:p w14:paraId="1B96CB4D" w14:textId="5C851B6B"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Serwajja</w:t>
      </w:r>
      <w:proofErr w:type="spellEnd"/>
      <w:r w:rsidRPr="006148EC">
        <w:rPr>
          <w:lang w:val="en-IN"/>
        </w:rPr>
        <w:t xml:space="preserve"> E, Kisira Y, </w:t>
      </w:r>
      <w:proofErr w:type="spellStart"/>
      <w:r w:rsidRPr="006148EC">
        <w:rPr>
          <w:lang w:val="en-IN"/>
        </w:rPr>
        <w:t>Bamutaze</w:t>
      </w:r>
      <w:proofErr w:type="spellEnd"/>
      <w:r w:rsidRPr="006148EC">
        <w:rPr>
          <w:lang w:val="en-IN"/>
        </w:rPr>
        <w:t xml:space="preserve"> Y (2024) Better to die of landslides than hunger’: Socio-economic and cultural intricacies of resettlement due to climate-induced hazards in Uganda. Int J Disaster Risk </w:t>
      </w:r>
      <w:proofErr w:type="spellStart"/>
      <w:r w:rsidRPr="006148EC">
        <w:rPr>
          <w:lang w:val="en-IN"/>
        </w:rPr>
        <w:t>Reduct</w:t>
      </w:r>
      <w:proofErr w:type="spellEnd"/>
      <w:r w:rsidRPr="006148EC">
        <w:rPr>
          <w:lang w:val="en-IN"/>
        </w:rPr>
        <w:t xml:space="preserve"> 101:104242. </w:t>
      </w:r>
      <w:hyperlink r:id="rId41">
        <w:r w:rsidRPr="006148EC">
          <w:rPr>
            <w:rStyle w:val="Hyperlink"/>
            <w:lang w:val="en-IN"/>
          </w:rPr>
          <w:t>https://doi.org/10.1016/j.ijdrr.2024.104242</w:t>
        </w:r>
      </w:hyperlink>
    </w:p>
    <w:p w14:paraId="0301FE8D" w14:textId="7AB63E6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Spilker G, Nguyen Q, Koubi V, </w:t>
      </w:r>
      <w:proofErr w:type="spellStart"/>
      <w:r w:rsidRPr="006148EC">
        <w:rPr>
          <w:lang w:val="en-IN"/>
        </w:rPr>
        <w:t>Böhmelt</w:t>
      </w:r>
      <w:proofErr w:type="spellEnd"/>
      <w:r w:rsidRPr="006148EC">
        <w:rPr>
          <w:lang w:val="en-IN"/>
        </w:rPr>
        <w:t xml:space="preserve"> T (2020) Attitudes of urban residents towards environmental migration in Kenya and Vietnam. Nat Clim Chang 10:622–627. </w:t>
      </w:r>
      <w:hyperlink r:id="rId42">
        <w:r w:rsidRPr="006148EC">
          <w:rPr>
            <w:rStyle w:val="Hyperlink"/>
            <w:lang w:val="en-IN"/>
          </w:rPr>
          <w:t>https://doi.org/10.1038/s41558-020-0805-5</w:t>
        </w:r>
      </w:hyperlink>
    </w:p>
    <w:p w14:paraId="7E8F15D3" w14:textId="5E3BC50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Sun X, Chu D, Li Q, Shi Y, Lu L, Bi A (2023) Dynamic successive assessment of Rural Human Settlements Environment in China. </w:t>
      </w:r>
      <w:proofErr w:type="spellStart"/>
      <w:r w:rsidRPr="006148EC">
        <w:rPr>
          <w:lang w:val="en-IN"/>
        </w:rPr>
        <w:t>Ecol</w:t>
      </w:r>
      <w:proofErr w:type="spellEnd"/>
      <w:r w:rsidRPr="006148EC">
        <w:rPr>
          <w:lang w:val="en-IN"/>
        </w:rPr>
        <w:t xml:space="preserve"> Indic 157:111177. </w:t>
      </w:r>
      <w:hyperlink r:id="rId43">
        <w:r w:rsidRPr="006148EC">
          <w:rPr>
            <w:rStyle w:val="Hyperlink"/>
            <w:lang w:val="en-IN"/>
          </w:rPr>
          <w:t>https://doi.org/10.1016/j.ecolind.2023.111177</w:t>
        </w:r>
      </w:hyperlink>
    </w:p>
    <w:p w14:paraId="52453F1B" w14:textId="7F86D49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Tang J, Chen D, Qiu H (2023a) Does poverty alleviation resettlement improve </w:t>
      </w:r>
      <w:proofErr w:type="spellStart"/>
      <w:r w:rsidRPr="006148EC">
        <w:rPr>
          <w:lang w:val="en-IN"/>
        </w:rPr>
        <w:t>resettlees</w:t>
      </w:r>
      <w:proofErr w:type="spellEnd"/>
      <w:r w:rsidRPr="006148EC">
        <w:rPr>
          <w:lang w:val="en-IN"/>
        </w:rPr>
        <w:t xml:space="preserve">’ subjective social status? Longitudinal evidence from China. Environ Impact Assess Rev 103:107285. </w:t>
      </w:r>
      <w:hyperlink r:id="rId44">
        <w:r w:rsidRPr="006148EC">
          <w:rPr>
            <w:rStyle w:val="Hyperlink"/>
            <w:lang w:val="en-IN"/>
          </w:rPr>
          <w:t>https://doi.org/10.1016/j.eiar.2023.107285</w:t>
        </w:r>
      </w:hyperlink>
    </w:p>
    <w:p w14:paraId="4592DE87" w14:textId="575A5FC0"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Tang J, Zhou L, Dang X, Hu F, Yuan B, Yuan Z, Wei L (2023b) Impacts and predictions of urban expansion on habitat quality in the densely populated areas: a case study of the Yellow River Basin, China. </w:t>
      </w:r>
      <w:proofErr w:type="spellStart"/>
      <w:r w:rsidRPr="006148EC">
        <w:rPr>
          <w:lang w:val="en-IN"/>
        </w:rPr>
        <w:t>Ecol</w:t>
      </w:r>
      <w:proofErr w:type="spellEnd"/>
      <w:r w:rsidRPr="006148EC">
        <w:rPr>
          <w:lang w:val="en-IN"/>
        </w:rPr>
        <w:t xml:space="preserve"> Indic 151:110320. </w:t>
      </w:r>
      <w:hyperlink r:id="rId45">
        <w:r w:rsidRPr="006148EC">
          <w:rPr>
            <w:rStyle w:val="Hyperlink"/>
            <w:lang w:val="en-IN"/>
          </w:rPr>
          <w:t>https://doi.org/10.1016/j.ecolind.2023.110320</w:t>
        </w:r>
      </w:hyperlink>
    </w:p>
    <w:p w14:paraId="2E6FB437" w14:textId="67E2C51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Ulus T, </w:t>
      </w:r>
      <w:proofErr w:type="spellStart"/>
      <w:r w:rsidRPr="006148EC">
        <w:rPr>
          <w:lang w:val="en-IN"/>
        </w:rPr>
        <w:t>Ellenblum</w:t>
      </w:r>
      <w:proofErr w:type="spellEnd"/>
      <w:r w:rsidRPr="006148EC">
        <w:rPr>
          <w:lang w:val="en-IN"/>
        </w:rPr>
        <w:t xml:space="preserve"> R (2021) How long and how strong must a climatic anomaly be in order to evoke a social transformation? Historical and contemporaneous case studies. </w:t>
      </w:r>
      <w:proofErr w:type="spellStart"/>
      <w:r w:rsidRPr="006148EC">
        <w:rPr>
          <w:lang w:val="en-IN"/>
        </w:rPr>
        <w:t>Humanit</w:t>
      </w:r>
      <w:proofErr w:type="spellEnd"/>
      <w:r w:rsidRPr="006148EC">
        <w:rPr>
          <w:lang w:val="en-IN"/>
        </w:rPr>
        <w:t xml:space="preserve"> Soc Sci Commun 8. </w:t>
      </w:r>
      <w:hyperlink r:id="rId46">
        <w:r w:rsidRPr="006148EC">
          <w:rPr>
            <w:rStyle w:val="Hyperlink"/>
            <w:lang w:val="en-IN"/>
          </w:rPr>
          <w:t>https://doi.org/10.1057/s41599-021-00933-4</w:t>
        </w:r>
      </w:hyperlink>
    </w:p>
    <w:p w14:paraId="0E616D49" w14:textId="3900CD6E"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Upadhyay H (2024) Migration as good, bad and necessary: examining impacts of migration on staying Himalayan communities affected by climate change. </w:t>
      </w:r>
      <w:proofErr w:type="spellStart"/>
      <w:r w:rsidRPr="006148EC">
        <w:rPr>
          <w:lang w:val="en-IN"/>
        </w:rPr>
        <w:t>Humanit</w:t>
      </w:r>
      <w:proofErr w:type="spellEnd"/>
      <w:r w:rsidRPr="006148EC">
        <w:rPr>
          <w:lang w:val="en-IN"/>
        </w:rPr>
        <w:t xml:space="preserve"> Soc Sci Commun 11. </w:t>
      </w:r>
      <w:hyperlink r:id="rId47">
        <w:r w:rsidRPr="006148EC">
          <w:rPr>
            <w:rStyle w:val="Hyperlink"/>
            <w:lang w:val="en-IN"/>
          </w:rPr>
          <w:t>https://doi.org/10.1057/s41599-024-04205-9</w:t>
        </w:r>
      </w:hyperlink>
    </w:p>
    <w:p w14:paraId="4AAA520D" w14:textId="3AD618BD"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Ustaoglu E, </w:t>
      </w:r>
      <w:proofErr w:type="spellStart"/>
      <w:r w:rsidRPr="006148EC">
        <w:rPr>
          <w:lang w:val="en-IN"/>
        </w:rPr>
        <w:t>Aydınoglu</w:t>
      </w:r>
      <w:proofErr w:type="spellEnd"/>
      <w:r w:rsidRPr="006148EC">
        <w:rPr>
          <w:lang w:val="en-IN"/>
        </w:rPr>
        <w:t xml:space="preserve"> AC (2020) Suitability evaluation of urban construction land in </w:t>
      </w:r>
      <w:proofErr w:type="spellStart"/>
      <w:r w:rsidRPr="006148EC">
        <w:rPr>
          <w:lang w:val="en-IN"/>
        </w:rPr>
        <w:t>Pendik</w:t>
      </w:r>
      <w:proofErr w:type="spellEnd"/>
      <w:r w:rsidRPr="006148EC">
        <w:rPr>
          <w:lang w:val="en-IN"/>
        </w:rPr>
        <w:t xml:space="preserve"> district of Istanbul, Turkey. Land Use Policy 99:104783. </w:t>
      </w:r>
      <w:hyperlink r:id="rId48">
        <w:r w:rsidRPr="006148EC">
          <w:rPr>
            <w:rStyle w:val="Hyperlink"/>
            <w:lang w:val="en-IN"/>
          </w:rPr>
          <w:t>https://doi.org/10.1016/j.landusepol.2020.104783</w:t>
        </w:r>
      </w:hyperlink>
    </w:p>
    <w:p w14:paraId="031A8FF9" w14:textId="11084D9B"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lastRenderedPageBreak/>
        <w:t xml:space="preserve"> </w:t>
      </w:r>
      <w:proofErr w:type="spellStart"/>
      <w:r w:rsidRPr="006148EC">
        <w:rPr>
          <w:lang w:val="en-IN"/>
        </w:rPr>
        <w:t>Vlaeminck</w:t>
      </w:r>
      <w:proofErr w:type="spellEnd"/>
      <w:r w:rsidRPr="006148EC">
        <w:rPr>
          <w:lang w:val="en-IN"/>
        </w:rPr>
        <w:t xml:space="preserve"> P, Maertens M, Isabirye M, </w:t>
      </w:r>
      <w:proofErr w:type="spellStart"/>
      <w:r w:rsidRPr="006148EC">
        <w:rPr>
          <w:lang w:val="en-IN"/>
        </w:rPr>
        <w:t>Vanderhoydonks</w:t>
      </w:r>
      <w:proofErr w:type="spellEnd"/>
      <w:r w:rsidRPr="006148EC">
        <w:rPr>
          <w:lang w:val="en-IN"/>
        </w:rPr>
        <w:t xml:space="preserve"> F, </w:t>
      </w:r>
      <w:proofErr w:type="spellStart"/>
      <w:r w:rsidRPr="006148EC">
        <w:rPr>
          <w:lang w:val="en-IN"/>
        </w:rPr>
        <w:t>Poesen</w:t>
      </w:r>
      <w:proofErr w:type="spellEnd"/>
      <w:r w:rsidRPr="006148EC">
        <w:rPr>
          <w:lang w:val="en-IN"/>
        </w:rPr>
        <w:t xml:space="preserve"> J, Deckers S, Vranken L (2016) Coping with landslide risk through preventive resettlement. Designing optimal strategies through choice experiments for the Mount Elgon region, Uganda. Land use policy 51:301–311. </w:t>
      </w:r>
      <w:hyperlink r:id="rId49">
        <w:r w:rsidRPr="006148EC">
          <w:rPr>
            <w:rStyle w:val="Hyperlink"/>
            <w:lang w:val="en-IN"/>
          </w:rPr>
          <w:t>https://doi.org/10.1016/j.landusepol.2015.11.027</w:t>
        </w:r>
      </w:hyperlink>
    </w:p>
    <w:p w14:paraId="2D11EF5E" w14:textId="3EEBD5B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Wang Y, Jin C, Lu M, Lu Y (2017) Assessing the suitability of regional human settlements environment from a different preferences perspective: a case study of Zhejiang Province, China. Habitat Int 70:1–12. </w:t>
      </w:r>
      <w:hyperlink r:id="rId50">
        <w:r w:rsidRPr="006148EC">
          <w:rPr>
            <w:rStyle w:val="Hyperlink"/>
            <w:lang w:val="en-IN"/>
          </w:rPr>
          <w:t>https://doi.org/10.1016/j.habitatint.2017.09.010</w:t>
        </w:r>
      </w:hyperlink>
    </w:p>
    <w:p w14:paraId="2418AD90" w14:textId="19802472" w:rsidR="006148EC" w:rsidRPr="006148EC" w:rsidRDefault="006148EC" w:rsidP="00314657">
      <w:pPr>
        <w:pStyle w:val="BodyText"/>
        <w:numPr>
          <w:ilvl w:val="0"/>
          <w:numId w:val="18"/>
        </w:numPr>
        <w:spacing w:line="276" w:lineRule="auto"/>
        <w:ind w:left="1080" w:right="352"/>
        <w:rPr>
          <w:lang w:val="en-IN"/>
        </w:rPr>
      </w:pPr>
      <w:r w:rsidRPr="006148EC">
        <w:rPr>
          <w:lang w:val="en-IN"/>
        </w:rPr>
        <w:t xml:space="preserve">Wang X, Zhou L, López-Carr D, Song Y, Gao H, Che T, Liu Z, Wei W (2025) Urban grey-green scales: A new perspective for assessing dynamic spatial trade-offs Int J Appl Earth </w:t>
      </w:r>
      <w:proofErr w:type="spellStart"/>
      <w:r w:rsidRPr="006148EC">
        <w:rPr>
          <w:lang w:val="en-IN"/>
        </w:rPr>
        <w:t>Obs</w:t>
      </w:r>
      <w:proofErr w:type="spellEnd"/>
      <w:r w:rsidRPr="006148EC">
        <w:rPr>
          <w:lang w:val="en-IN"/>
        </w:rPr>
        <w:t xml:space="preserve"> </w:t>
      </w:r>
      <w:proofErr w:type="spellStart"/>
      <w:r w:rsidRPr="006148EC">
        <w:rPr>
          <w:lang w:val="en-IN"/>
        </w:rPr>
        <w:t>Geoinf</w:t>
      </w:r>
      <w:proofErr w:type="spellEnd"/>
      <w:r w:rsidRPr="006148EC">
        <w:rPr>
          <w:lang w:val="en-IN"/>
        </w:rPr>
        <w:t>. 142:104708</w:t>
      </w:r>
    </w:p>
    <w:p w14:paraId="61C73192" w14:textId="5F104D49"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Wang Y, Tian S, Li H, Li X, Yang J, Wu W (2025) The dynamic evolution and obstacle identification of pseudo and reality human settlements in the central </w:t>
      </w:r>
      <w:proofErr w:type="gramStart"/>
      <w:r w:rsidRPr="006148EC">
        <w:rPr>
          <w:lang w:val="en-IN"/>
        </w:rPr>
        <w:t>plains</w:t>
      </w:r>
      <w:proofErr w:type="gramEnd"/>
      <w:r w:rsidRPr="006148EC">
        <w:rPr>
          <w:lang w:val="en-IN"/>
        </w:rPr>
        <w:t xml:space="preserve"> urban agglomeration of China. Sci Rep 15. </w:t>
      </w:r>
      <w:hyperlink r:id="rId51">
        <w:r w:rsidRPr="006148EC">
          <w:rPr>
            <w:rStyle w:val="Hyperlink"/>
            <w:lang w:val="en-IN"/>
          </w:rPr>
          <w:t>https://doi.org/10.1038/s41598-025-00286-x</w:t>
        </w:r>
      </w:hyperlink>
    </w:p>
    <w:p w14:paraId="31C59A16" w14:textId="528B129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Xiao H, Luo Z, Niu Q, Chang J (2013) The 2010 </w:t>
      </w:r>
      <w:proofErr w:type="spellStart"/>
      <w:r w:rsidRPr="006148EC">
        <w:rPr>
          <w:lang w:val="en-IN"/>
        </w:rPr>
        <w:t>Zhouqu</w:t>
      </w:r>
      <w:proofErr w:type="spellEnd"/>
      <w:r w:rsidRPr="006148EC">
        <w:rPr>
          <w:lang w:val="en-IN"/>
        </w:rPr>
        <w:t xml:space="preserve"> mudflow disaster: possible causes, human contributions, and lessons learned. Nat Hazards 67:611–625. </w:t>
      </w:r>
      <w:hyperlink r:id="rId52">
        <w:r w:rsidRPr="006148EC">
          <w:rPr>
            <w:rStyle w:val="Hyperlink"/>
            <w:lang w:val="en-IN"/>
          </w:rPr>
          <w:t>https://doi.org/10.1007/s11069-013-0592-6</w:t>
        </w:r>
      </w:hyperlink>
    </w:p>
    <w:p w14:paraId="04B514FD" w14:textId="3D465C7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Xu Y, Qiu X, Yang X, Lu X, Chen G (2020) Disaster risk management models for rural relocation communities of mountainous southwestern China under the stress of geological disasters. Int J Disaster Risk </w:t>
      </w:r>
      <w:proofErr w:type="spellStart"/>
      <w:r w:rsidRPr="006148EC">
        <w:rPr>
          <w:lang w:val="en-IN"/>
        </w:rPr>
        <w:t>Reduct</w:t>
      </w:r>
      <w:proofErr w:type="spellEnd"/>
      <w:r w:rsidRPr="006148EC">
        <w:rPr>
          <w:lang w:val="en-IN"/>
        </w:rPr>
        <w:t xml:space="preserve"> 50:101697. </w:t>
      </w:r>
      <w:hyperlink r:id="rId53">
        <w:r w:rsidRPr="006148EC">
          <w:rPr>
            <w:rStyle w:val="Hyperlink"/>
            <w:lang w:val="en-IN"/>
          </w:rPr>
          <w:t>https://doi.org/10.1016/j.ijdrr.2020.101697</w:t>
        </w:r>
      </w:hyperlink>
    </w:p>
    <w:p w14:paraId="31F2DCF7" w14:textId="17778080"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w:t>
      </w:r>
      <w:proofErr w:type="spellStart"/>
      <w:r w:rsidRPr="006148EC">
        <w:rPr>
          <w:lang w:val="en-IN"/>
        </w:rPr>
        <w:t>Yalew</w:t>
      </w:r>
      <w:proofErr w:type="spellEnd"/>
      <w:r w:rsidRPr="006148EC">
        <w:rPr>
          <w:lang w:val="en-IN"/>
        </w:rPr>
        <w:t xml:space="preserve"> SG, van </w:t>
      </w:r>
      <w:proofErr w:type="spellStart"/>
      <w:r w:rsidRPr="006148EC">
        <w:rPr>
          <w:lang w:val="en-IN"/>
        </w:rPr>
        <w:t>Griensven</w:t>
      </w:r>
      <w:proofErr w:type="spellEnd"/>
      <w:r w:rsidRPr="006148EC">
        <w:rPr>
          <w:lang w:val="en-IN"/>
        </w:rPr>
        <w:t xml:space="preserve"> A, van der </w:t>
      </w:r>
      <w:proofErr w:type="spellStart"/>
      <w:r w:rsidRPr="006148EC">
        <w:rPr>
          <w:lang w:val="en-IN"/>
        </w:rPr>
        <w:t>Zaag</w:t>
      </w:r>
      <w:proofErr w:type="spellEnd"/>
      <w:r w:rsidRPr="006148EC">
        <w:rPr>
          <w:lang w:val="en-IN"/>
        </w:rPr>
        <w:t xml:space="preserve"> P (2016) </w:t>
      </w:r>
      <w:proofErr w:type="spellStart"/>
      <w:r w:rsidRPr="006148EC">
        <w:rPr>
          <w:lang w:val="en-IN"/>
        </w:rPr>
        <w:t>AgriSuit</w:t>
      </w:r>
      <w:proofErr w:type="spellEnd"/>
      <w:r w:rsidRPr="006148EC">
        <w:rPr>
          <w:lang w:val="en-IN"/>
        </w:rPr>
        <w:t xml:space="preserve">: a web-based GIS-MCDA framework for agricultural land suitability assessment. </w:t>
      </w:r>
      <w:proofErr w:type="spellStart"/>
      <w:r w:rsidRPr="006148EC">
        <w:rPr>
          <w:lang w:val="en-IN"/>
        </w:rPr>
        <w:t>Comput</w:t>
      </w:r>
      <w:proofErr w:type="spellEnd"/>
      <w:r w:rsidRPr="006148EC">
        <w:rPr>
          <w:lang w:val="en-IN"/>
        </w:rPr>
        <w:t xml:space="preserve"> Electron Agric 128:1–8. </w:t>
      </w:r>
      <w:hyperlink r:id="rId54">
        <w:r w:rsidRPr="006148EC">
          <w:rPr>
            <w:rStyle w:val="Hyperlink"/>
            <w:lang w:val="en-IN"/>
          </w:rPr>
          <w:t>https://doi.org/10.1016/j.compag.2016.08.008</w:t>
        </w:r>
      </w:hyperlink>
    </w:p>
    <w:p w14:paraId="4D13CC44" w14:textId="2755881F"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Yang C, Qian Z, Li H (2023) Measuring the accessibility deprivation of concentrated resettlement communities in China: An integrated approach of space syntax and multi-criteria decision analysis. Appl </w:t>
      </w:r>
      <w:proofErr w:type="spellStart"/>
      <w:r w:rsidRPr="006148EC">
        <w:rPr>
          <w:lang w:val="en-IN"/>
        </w:rPr>
        <w:t>Geogr</w:t>
      </w:r>
      <w:proofErr w:type="spellEnd"/>
      <w:r w:rsidRPr="006148EC">
        <w:rPr>
          <w:lang w:val="en-IN"/>
        </w:rPr>
        <w:t xml:space="preserve"> 150:102839. </w:t>
      </w:r>
      <w:hyperlink r:id="rId55">
        <w:r w:rsidRPr="006148EC">
          <w:rPr>
            <w:rStyle w:val="Hyperlink"/>
            <w:lang w:val="en-IN"/>
          </w:rPr>
          <w:t>https://doi.org/10.1016/j.apgeog.2022.102839</w:t>
        </w:r>
      </w:hyperlink>
    </w:p>
    <w:p w14:paraId="0B90330F" w14:textId="5FBDFE05"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Yang Y, de Sherbinin A, Liu Y (2020) China’s poverty alleviation resettlement: progress, problems and solutions. Habitat Int 98:102135. </w:t>
      </w:r>
      <w:hyperlink r:id="rId56">
        <w:r w:rsidRPr="006148EC">
          <w:rPr>
            <w:rStyle w:val="Hyperlink"/>
            <w:lang w:val="en-IN"/>
          </w:rPr>
          <w:t>https://doi.org/10.1016/j.habitatint.2020.102135</w:t>
        </w:r>
      </w:hyperlink>
    </w:p>
    <w:p w14:paraId="36037E92" w14:textId="12B16BE1"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Yokoyama A, Matsuyuki M, </w:t>
      </w:r>
      <w:proofErr w:type="spellStart"/>
      <w:r w:rsidRPr="006148EC">
        <w:rPr>
          <w:lang w:val="en-IN"/>
        </w:rPr>
        <w:t>Antokida</w:t>
      </w:r>
      <w:proofErr w:type="spellEnd"/>
      <w:r w:rsidRPr="006148EC">
        <w:rPr>
          <w:lang w:val="en-IN"/>
        </w:rPr>
        <w:t xml:space="preserve"> Y, </w:t>
      </w:r>
      <w:proofErr w:type="spellStart"/>
      <w:r w:rsidRPr="006148EC">
        <w:rPr>
          <w:lang w:val="en-IN"/>
        </w:rPr>
        <w:t>Fitrinitia</w:t>
      </w:r>
      <w:proofErr w:type="spellEnd"/>
      <w:r w:rsidRPr="006148EC">
        <w:rPr>
          <w:lang w:val="en-IN"/>
        </w:rPr>
        <w:t xml:space="preserve"> IS, Tanaka S, Ariyoshi R (2023) Assessing the impacts of climate-induced resettlement on livelihood vulnerability: a case study in Jakarta Special Province, Indonesia. Int J Disaster Risk </w:t>
      </w:r>
      <w:proofErr w:type="spellStart"/>
      <w:r w:rsidRPr="006148EC">
        <w:rPr>
          <w:lang w:val="en-IN"/>
        </w:rPr>
        <w:t>Reduct</w:t>
      </w:r>
      <w:proofErr w:type="spellEnd"/>
      <w:r w:rsidRPr="006148EC">
        <w:rPr>
          <w:lang w:val="en-IN"/>
        </w:rPr>
        <w:t xml:space="preserve"> 96:103946. </w:t>
      </w:r>
      <w:hyperlink r:id="rId57">
        <w:r w:rsidRPr="006148EC">
          <w:rPr>
            <w:rStyle w:val="Hyperlink"/>
            <w:lang w:val="en-IN"/>
          </w:rPr>
          <w:t>https://doi.org/10.1016/j.ijdrr.2023.103946</w:t>
        </w:r>
      </w:hyperlink>
    </w:p>
    <w:p w14:paraId="3F1B82C0" w14:textId="4EA31A7D"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Younes A, Kotb KM, Abu Ghazala MO, </w:t>
      </w:r>
      <w:proofErr w:type="spellStart"/>
      <w:r w:rsidRPr="006148EC">
        <w:rPr>
          <w:lang w:val="en-IN"/>
        </w:rPr>
        <w:t>Elkadeem</w:t>
      </w:r>
      <w:proofErr w:type="spellEnd"/>
      <w:r w:rsidRPr="006148EC">
        <w:rPr>
          <w:lang w:val="en-IN"/>
        </w:rPr>
        <w:t xml:space="preserve"> MR (2022) Spatial suitability analysis for site selection of refugee camps using hybrid GIS and fuzzy AHP approach: the case of Kenya. Int J Disaster Risk </w:t>
      </w:r>
      <w:proofErr w:type="spellStart"/>
      <w:r w:rsidRPr="006148EC">
        <w:rPr>
          <w:lang w:val="en-IN"/>
        </w:rPr>
        <w:t>Reduct</w:t>
      </w:r>
      <w:proofErr w:type="spellEnd"/>
      <w:r w:rsidRPr="006148EC">
        <w:rPr>
          <w:lang w:val="en-IN"/>
        </w:rPr>
        <w:t xml:space="preserve"> 77. </w:t>
      </w:r>
      <w:hyperlink r:id="rId58">
        <w:r w:rsidRPr="006148EC">
          <w:rPr>
            <w:rStyle w:val="Hyperlink"/>
            <w:lang w:val="en-IN"/>
          </w:rPr>
          <w:t>https://doi.org/10.1016/j.ijdrr.2022.103062</w:t>
        </w:r>
      </w:hyperlink>
    </w:p>
    <w:p w14:paraId="1D73E62E" w14:textId="37AE589B"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Zander KK, Garnett ST, </w:t>
      </w:r>
      <w:proofErr w:type="spellStart"/>
      <w:r w:rsidRPr="006148EC">
        <w:rPr>
          <w:lang w:val="en-IN"/>
        </w:rPr>
        <w:t>Sterly</w:t>
      </w:r>
      <w:proofErr w:type="spellEnd"/>
      <w:r w:rsidRPr="006148EC">
        <w:rPr>
          <w:lang w:val="en-IN"/>
        </w:rPr>
        <w:t xml:space="preserve"> H, Ayeb-Karlsson S, </w:t>
      </w:r>
      <w:proofErr w:type="spellStart"/>
      <w:r w:rsidRPr="006148EC">
        <w:rPr>
          <w:lang w:val="en-IN"/>
        </w:rPr>
        <w:t>Šedová</w:t>
      </w:r>
      <w:proofErr w:type="spellEnd"/>
      <w:r w:rsidRPr="006148EC">
        <w:rPr>
          <w:lang w:val="en-IN"/>
        </w:rPr>
        <w:t xml:space="preserve"> B, Lotze-Campen H, </w:t>
      </w:r>
      <w:proofErr w:type="spellStart"/>
      <w:r w:rsidRPr="006148EC">
        <w:rPr>
          <w:lang w:val="en-IN"/>
        </w:rPr>
        <w:t>Richerzhagen</w:t>
      </w:r>
      <w:proofErr w:type="spellEnd"/>
      <w:r w:rsidRPr="006148EC">
        <w:rPr>
          <w:lang w:val="en-IN"/>
        </w:rPr>
        <w:t xml:space="preserve"> C, </w:t>
      </w:r>
      <w:proofErr w:type="spellStart"/>
      <w:r w:rsidRPr="006148EC">
        <w:rPr>
          <w:lang w:val="en-IN"/>
        </w:rPr>
        <w:t>Baggen</w:t>
      </w:r>
      <w:proofErr w:type="spellEnd"/>
      <w:r w:rsidRPr="006148EC">
        <w:rPr>
          <w:lang w:val="en-IN"/>
        </w:rPr>
        <w:t xml:space="preserve"> HS (2022) Topic modelling exposes </w:t>
      </w:r>
      <w:proofErr w:type="spellStart"/>
      <w:r w:rsidRPr="006148EC">
        <w:rPr>
          <w:lang w:val="en-IN"/>
        </w:rPr>
        <w:t>disciplinar</w:t>
      </w:r>
      <w:proofErr w:type="spellEnd"/>
      <w:r w:rsidRPr="006148EC">
        <w:rPr>
          <w:lang w:val="en-IN"/>
        </w:rPr>
        <w:t xml:space="preserve"> divergence in research on the nexus between human mobility and the environment. </w:t>
      </w:r>
      <w:proofErr w:type="spellStart"/>
      <w:r w:rsidRPr="006148EC">
        <w:rPr>
          <w:lang w:val="en-IN"/>
        </w:rPr>
        <w:t>Humanit</w:t>
      </w:r>
      <w:proofErr w:type="spellEnd"/>
      <w:r w:rsidRPr="006148EC">
        <w:rPr>
          <w:lang w:val="en-IN"/>
        </w:rPr>
        <w:t xml:space="preserve"> Soc Sci Commun 9. </w:t>
      </w:r>
      <w:hyperlink r:id="rId59">
        <w:r w:rsidRPr="006148EC">
          <w:rPr>
            <w:rStyle w:val="Hyperlink"/>
            <w:lang w:val="en-IN"/>
          </w:rPr>
          <w:t>https://doi.org/10.1057/s41599-022-01038-2</w:t>
        </w:r>
      </w:hyperlink>
    </w:p>
    <w:p w14:paraId="025231CE" w14:textId="3E684B33"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Zhang W, Zhou L, Zhang Y, Chen Z, Hu F (2022) Impacts of ecological migration on land use and vegetation restoration in arid zones. Land 11. </w:t>
      </w:r>
      <w:hyperlink r:id="rId60">
        <w:r w:rsidRPr="006148EC">
          <w:rPr>
            <w:rStyle w:val="Hyperlink"/>
            <w:lang w:val="en-IN"/>
          </w:rPr>
          <w:t>https://doi.org/10.3390/land11060891</w:t>
        </w:r>
      </w:hyperlink>
    </w:p>
    <w:p w14:paraId="264D5D11" w14:textId="5E0108A6"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Zhang X, Fang C, Wang Z, Ma H (2013) Urban construction land suitability evaluation based on improved multi-criteria evaluation based on GIS (MCE-GIS): case of New Hefei City, China. Chin </w:t>
      </w:r>
      <w:proofErr w:type="spellStart"/>
      <w:r w:rsidRPr="006148EC">
        <w:rPr>
          <w:lang w:val="en-IN"/>
        </w:rPr>
        <w:t>Geogr</w:t>
      </w:r>
      <w:proofErr w:type="spellEnd"/>
      <w:r w:rsidRPr="006148EC">
        <w:rPr>
          <w:lang w:val="en-IN"/>
        </w:rPr>
        <w:t xml:space="preserve"> Sci 23:740–753. </w:t>
      </w:r>
      <w:hyperlink r:id="rId61">
        <w:r w:rsidRPr="006148EC">
          <w:rPr>
            <w:rStyle w:val="Hyperlink"/>
            <w:lang w:val="en-IN"/>
          </w:rPr>
          <w:t>https://doi.org/10.1007/s11769-013-0609-6</w:t>
        </w:r>
      </w:hyperlink>
    </w:p>
    <w:p w14:paraId="00F8159F" w14:textId="242D55A5" w:rsidR="006148EC" w:rsidRPr="006148EC" w:rsidRDefault="006148EC" w:rsidP="00314657">
      <w:pPr>
        <w:pStyle w:val="BodyText"/>
        <w:numPr>
          <w:ilvl w:val="0"/>
          <w:numId w:val="18"/>
        </w:numPr>
        <w:spacing w:line="276" w:lineRule="auto"/>
        <w:ind w:left="1080" w:right="352"/>
        <w:rPr>
          <w:lang w:val="en-IN"/>
        </w:rPr>
      </w:pPr>
      <w:r w:rsidRPr="006148EC">
        <w:rPr>
          <w:lang w:val="en-IN"/>
        </w:rPr>
        <w:t xml:space="preserve"> Zhao R, Fang C, Liu J, Zhang L (2022) The evaluation and obstacle analysis of urban resilience from the multidimensional perspective in Chinese cities. Sustain Cities Soc 86:104160</w:t>
      </w:r>
    </w:p>
    <w:p w14:paraId="486220F8" w14:textId="356D7378"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Zhao R, Long D, Yang M, Fan X (2024) From resettlement to revitalization: Examining the water resource environment carrying capacity of ecological migrant resettlement areas in China. </w:t>
      </w:r>
      <w:proofErr w:type="spellStart"/>
      <w:r w:rsidRPr="006148EC">
        <w:rPr>
          <w:lang w:val="en-IN"/>
        </w:rPr>
        <w:t>Ecol</w:t>
      </w:r>
      <w:proofErr w:type="spellEnd"/>
      <w:r w:rsidRPr="006148EC">
        <w:rPr>
          <w:lang w:val="en-IN"/>
        </w:rPr>
        <w:t xml:space="preserve"> Indic 160. </w:t>
      </w:r>
      <w:hyperlink r:id="rId62">
        <w:r w:rsidRPr="006148EC">
          <w:rPr>
            <w:rStyle w:val="Hyperlink"/>
            <w:lang w:val="en-IN"/>
          </w:rPr>
          <w:t>https://doi.org/10.1016/j.ecolind.2024.111877</w:t>
        </w:r>
      </w:hyperlink>
    </w:p>
    <w:p w14:paraId="7797AA60" w14:textId="3E4A3C17"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Zhao Z, Pan J, Lei P (2021) Real curve: Identifying and quantifying the real environmental effects on migration in China. </w:t>
      </w:r>
      <w:proofErr w:type="spellStart"/>
      <w:r w:rsidRPr="006148EC">
        <w:rPr>
          <w:lang w:val="en-IN"/>
        </w:rPr>
        <w:t>Ecol</w:t>
      </w:r>
      <w:proofErr w:type="spellEnd"/>
      <w:r w:rsidRPr="006148EC">
        <w:rPr>
          <w:lang w:val="en-IN"/>
        </w:rPr>
        <w:t xml:space="preserve"> Indic 133. </w:t>
      </w:r>
      <w:hyperlink r:id="rId63">
        <w:r w:rsidRPr="006148EC">
          <w:rPr>
            <w:rStyle w:val="Hyperlink"/>
            <w:lang w:val="en-IN"/>
          </w:rPr>
          <w:t>https://doi.org/10.1016/j.ecolind.2021.108348</w:t>
        </w:r>
      </w:hyperlink>
    </w:p>
    <w:p w14:paraId="107019D7" w14:textId="4DFB59AA"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Zhou H, Na X, Li L, Ning X, Bai Y, Wu X, Zang S (2023) Suitability evaluation of the rural settlements in a farming-pastoral ecotone area based on machine learning maximum entropy. </w:t>
      </w:r>
      <w:proofErr w:type="spellStart"/>
      <w:r w:rsidRPr="006148EC">
        <w:rPr>
          <w:lang w:val="en-IN"/>
        </w:rPr>
        <w:t>Ecol</w:t>
      </w:r>
      <w:proofErr w:type="spellEnd"/>
      <w:r w:rsidRPr="006148EC">
        <w:rPr>
          <w:lang w:val="en-IN"/>
        </w:rPr>
        <w:t xml:space="preserve"> Indic 154. </w:t>
      </w:r>
      <w:hyperlink r:id="rId64">
        <w:r w:rsidRPr="006148EC">
          <w:rPr>
            <w:rStyle w:val="Hyperlink"/>
            <w:lang w:val="en-IN"/>
          </w:rPr>
          <w:t>https://doi.org/10.1016/j.ecolind.2023.110794</w:t>
        </w:r>
      </w:hyperlink>
    </w:p>
    <w:p w14:paraId="379C156A" w14:textId="5E77D782" w:rsidR="006148EC" w:rsidRPr="006148EC" w:rsidRDefault="006148EC" w:rsidP="00314657">
      <w:pPr>
        <w:pStyle w:val="BodyText"/>
        <w:numPr>
          <w:ilvl w:val="0"/>
          <w:numId w:val="18"/>
        </w:numPr>
        <w:spacing w:line="276" w:lineRule="auto"/>
        <w:ind w:left="1080" w:right="352"/>
        <w:rPr>
          <w:u w:val="single"/>
          <w:lang w:val="en-IN"/>
        </w:rPr>
      </w:pPr>
      <w:r w:rsidRPr="006148EC">
        <w:rPr>
          <w:lang w:val="en-IN"/>
        </w:rPr>
        <w:t xml:space="preserve"> Zhou L, Wei L, López-Carr D, Dang X, Yuan B, Yuan Z (2024) Identification of irregular extension features and fragmented spatial governance within urban fringe areas. Appl </w:t>
      </w:r>
      <w:proofErr w:type="spellStart"/>
      <w:r w:rsidRPr="006148EC">
        <w:rPr>
          <w:lang w:val="en-IN"/>
        </w:rPr>
        <w:t>Geogr</w:t>
      </w:r>
      <w:proofErr w:type="spellEnd"/>
      <w:r w:rsidRPr="006148EC">
        <w:rPr>
          <w:lang w:val="en-IN"/>
        </w:rPr>
        <w:t xml:space="preserve"> 162:103172. </w:t>
      </w:r>
      <w:hyperlink r:id="rId65">
        <w:r w:rsidRPr="006148EC">
          <w:rPr>
            <w:rStyle w:val="Hyperlink"/>
            <w:lang w:val="en-IN"/>
          </w:rPr>
          <w:t>https://doi.org/10.1016/j.apgeog.2023.103172</w:t>
        </w:r>
      </w:hyperlink>
    </w:p>
    <w:p w14:paraId="5D668255" w14:textId="7DAABB3C" w:rsidR="00DF43C4" w:rsidRPr="00BB5C33" w:rsidRDefault="006148EC" w:rsidP="00BB5C33">
      <w:pPr>
        <w:pStyle w:val="BodyText"/>
        <w:numPr>
          <w:ilvl w:val="0"/>
          <w:numId w:val="18"/>
        </w:numPr>
        <w:spacing w:line="276" w:lineRule="auto"/>
        <w:ind w:left="1080" w:right="352"/>
        <w:rPr>
          <w:lang w:val="en-IN"/>
        </w:rPr>
      </w:pPr>
      <w:r w:rsidRPr="006148EC">
        <w:rPr>
          <w:lang w:val="en-IN"/>
        </w:rPr>
        <w:t xml:space="preserve"> Zhu D, Jia Z, Zhou Z (2021) Place attachment in the Ex-situ poverty alleviation relocation: evidence from different poverty alleviation migrant communities in Guizhou Province, China. Sustain Cities Soc 75:103355. </w:t>
      </w:r>
      <w:hyperlink r:id="rId66">
        <w:r w:rsidRPr="006148EC">
          <w:rPr>
            <w:rStyle w:val="Hyperlink"/>
            <w:lang w:val="en-IN"/>
          </w:rPr>
          <w:t>https://doi.org/10.1016/j.scs.2021.103355</w:t>
        </w:r>
      </w:hyperlink>
      <w:bookmarkEnd w:id="1"/>
    </w:p>
    <w:sectPr w:rsidR="00DF43C4" w:rsidRPr="00BB5C33" w:rsidSect="006148EC">
      <w:headerReference w:type="default" r:id="rId67"/>
      <w:footerReference w:type="default" r:id="rId68"/>
      <w:type w:val="continuous"/>
      <w:pgSz w:w="12240" w:h="15840"/>
      <w:pgMar w:top="2320" w:right="1080" w:bottom="880" w:left="1080" w:header="5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BEE2" w14:textId="77777777" w:rsidR="00D42494" w:rsidRDefault="00D42494">
      <w:r>
        <w:separator/>
      </w:r>
    </w:p>
  </w:endnote>
  <w:endnote w:type="continuationSeparator" w:id="0">
    <w:p w14:paraId="06B42EA4" w14:textId="77777777" w:rsidR="00D42494" w:rsidRDefault="00D4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69D9" w14:textId="77777777" w:rsidR="00DF43C4"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751C0567" wp14:editId="4F08292B">
              <wp:simplePos x="0" y="0"/>
              <wp:positionH relativeFrom="page">
                <wp:posOffset>895985</wp:posOffset>
              </wp:positionH>
              <wp:positionV relativeFrom="page">
                <wp:posOffset>9445625</wp:posOffset>
              </wp:positionV>
              <wp:extent cx="598233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4"/>
                            </a:lnTo>
                            <a:lnTo>
                              <a:pt x="5982335" y="6094"/>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2FD8269" id="Graphic 7" o:spid="_x0000_s1026" style="position:absolute;margin-left:70.55pt;margin-top:743.75pt;width:471.05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" path="m5982335,l,,,6094r5982335,l5982335,xe" fillcolor="#d9d9d9"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07202E11" wp14:editId="7893F4AD">
              <wp:simplePos x="0" y="0"/>
              <wp:positionH relativeFrom="page">
                <wp:posOffset>6127750</wp:posOffset>
              </wp:positionH>
              <wp:positionV relativeFrom="page">
                <wp:posOffset>9469628</wp:posOffset>
              </wp:positionV>
              <wp:extent cx="7073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65735"/>
                      </a:xfrm>
                      <a:prstGeom prst="rect">
                        <a:avLst/>
                      </a:prstGeom>
                    </wps:spPr>
                    <wps:txbx>
                      <w:txbxContent>
                        <w:p w14:paraId="71FC5802" w14:textId="77777777" w:rsidR="00DF43C4"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4"/>
                            </w:rPr>
                            <w:t xml:space="preserve"> </w:t>
                          </w:r>
                          <w:r>
                            <w:rPr>
                              <w:rFonts w:ascii="Calibri"/>
                            </w:rPr>
                            <w:t>|</w:t>
                          </w:r>
                          <w:r>
                            <w:rPr>
                              <w:rFonts w:ascii="Calibri"/>
                              <w:spacing w:val="-5"/>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wps:txbx>
                    <wps:bodyPr wrap="square" lIns="0" tIns="0" rIns="0" bIns="0" rtlCol="0">
                      <a:noAutofit/>
                    </wps:bodyPr>
                  </wps:wsp>
                </a:graphicData>
              </a:graphic>
            </wp:anchor>
          </w:drawing>
        </mc:Choice>
        <mc:Fallback>
          <w:pict>
            <v:shapetype w14:anchorId="07202E11" id="_x0000_t202" coordsize="21600,21600" o:spt="202" path="m,l,21600r21600,l21600,xe">
              <v:stroke joinstyle="miter"/>
              <v:path gradientshapeok="t" o:connecttype="rect"/>
            </v:shapetype>
            <v:shape id="Textbox 8" o:spid="_x0000_s1028" type="#_x0000_t202" style="position:absolute;margin-left:482.5pt;margin-top:745.65pt;width:55.7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" filled="f" stroked="f">
              <v:textbox inset="0,0,0,0">
                <w:txbxContent>
                  <w:p w14:paraId="71FC5802" w14:textId="77777777" w:rsidR="00DF43C4"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4"/>
                      </w:rPr>
                      <w:t xml:space="preserve"> </w:t>
                    </w:r>
                    <w:r>
                      <w:rPr>
                        <w:rFonts w:ascii="Calibri"/>
                      </w:rPr>
                      <w:t>|</w:t>
                    </w:r>
                    <w:r>
                      <w:rPr>
                        <w:rFonts w:ascii="Calibri"/>
                        <w:spacing w:val="-5"/>
                      </w:rPr>
                      <w:t xml:space="preserve"> </w:t>
                    </w:r>
                    <w:r>
                      <w:rPr>
                        <w:rFonts w:ascii="Calibri"/>
                        <w:color w:val="7D7D7D"/>
                      </w:rPr>
                      <w:t>P</w:t>
                    </w:r>
                    <w:r>
                      <w:rPr>
                        <w:rFonts w:ascii="Calibri"/>
                        <w:color w:val="7D7D7D"/>
                        <w:spacing w:val="13"/>
                      </w:rPr>
                      <w:t xml:space="preserve"> </w:t>
                    </w:r>
                    <w:r>
                      <w:rPr>
                        <w:rFonts w:ascii="Calibri"/>
                        <w:color w:val="7D7D7D"/>
                      </w:rPr>
                      <w:t>a</w:t>
                    </w:r>
                    <w:r>
                      <w:rPr>
                        <w:rFonts w:ascii="Calibri"/>
                        <w:color w:val="7D7D7D"/>
                        <w:spacing w:val="12"/>
                      </w:rPr>
                      <w:t xml:space="preserve"> </w:t>
                    </w:r>
                    <w:r>
                      <w:rPr>
                        <w:rFonts w:ascii="Calibri"/>
                        <w:color w:val="7D7D7D"/>
                      </w:rPr>
                      <w:t>g</w:t>
                    </w:r>
                    <w:r>
                      <w:rPr>
                        <w:rFonts w:ascii="Calibri"/>
                        <w:color w:val="7D7D7D"/>
                        <w:spacing w:val="7"/>
                      </w:rPr>
                      <w:t xml:space="preserve"> </w:t>
                    </w:r>
                    <w:r>
                      <w:rPr>
                        <w:rFonts w:ascii="Calibri"/>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A8F" w14:textId="77777777" w:rsidR="00D42494" w:rsidRDefault="00D42494">
      <w:r>
        <w:separator/>
      </w:r>
    </w:p>
  </w:footnote>
  <w:footnote w:type="continuationSeparator" w:id="0">
    <w:p w14:paraId="283F8D55" w14:textId="77777777" w:rsidR="00D42494" w:rsidRDefault="00D4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ECDC" w14:textId="77777777" w:rsidR="00DF43C4" w:rsidRDefault="00000000">
    <w:pPr>
      <w:pStyle w:val="BodyText"/>
      <w:spacing w:before="0" w:line="14" w:lineRule="auto"/>
      <w:ind w:left="0"/>
      <w:jc w:val="left"/>
      <w:rPr>
        <w:sz w:val="20"/>
      </w:rPr>
    </w:pPr>
    <w:r>
      <w:rPr>
        <w:noProof/>
        <w:sz w:val="20"/>
      </w:rPr>
      <mc:AlternateContent>
        <mc:Choice Requires="wpg">
          <w:drawing>
            <wp:anchor distT="0" distB="0" distL="0" distR="0" simplePos="0" relativeHeight="251654144" behindDoc="1" locked="0" layoutInCell="1" allowOverlap="1" wp14:anchorId="350646D1" wp14:editId="4CD79844">
              <wp:simplePos x="0" y="0"/>
              <wp:positionH relativeFrom="page">
                <wp:posOffset>844550</wp:posOffset>
              </wp:positionH>
              <wp:positionV relativeFrom="page">
                <wp:posOffset>330200</wp:posOffset>
              </wp:positionV>
              <wp:extent cx="6311900" cy="1143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0" cy="1143635"/>
                        <a:chOff x="0" y="0"/>
                        <a:chExt cx="6311900" cy="1143635"/>
                      </a:xfrm>
                    </wpg:grpSpPr>
                    <wps:wsp>
                      <wps:cNvPr id="2" name="Graphic 2"/>
                      <wps:cNvSpPr/>
                      <wps:spPr>
                        <a:xfrm>
                          <a:off x="1313433" y="2997"/>
                          <a:ext cx="4823460" cy="1082675"/>
                        </a:xfrm>
                        <a:custGeom>
                          <a:avLst/>
                          <a:gdLst/>
                          <a:ahLst/>
                          <a:cxnLst/>
                          <a:rect l="l" t="t" r="r" b="b"/>
                          <a:pathLst>
                            <a:path w="4823460" h="1082675">
                              <a:moveTo>
                                <a:pt x="4823460" y="0"/>
                              </a:moveTo>
                              <a:lnTo>
                                <a:pt x="0" y="0"/>
                              </a:lnTo>
                              <a:lnTo>
                                <a:pt x="0" y="1082344"/>
                              </a:lnTo>
                              <a:lnTo>
                                <a:pt x="4823460" y="1082344"/>
                              </a:lnTo>
                              <a:lnTo>
                                <a:pt x="4823460" y="0"/>
                              </a:lnTo>
                              <a:close/>
                            </a:path>
                          </a:pathLst>
                        </a:custGeom>
                        <a:solidFill>
                          <a:srgbClr val="DBE3EF"/>
                        </a:solidFill>
                      </wps:spPr>
                      <wps:bodyPr wrap="square" lIns="0" tIns="0" rIns="0" bIns="0" rtlCol="0">
                        <a:prstTxWarp prst="textNoShape">
                          <a:avLst/>
                        </a:prstTxWarp>
                        <a:noAutofit/>
                      </wps:bodyPr>
                    </wps:wsp>
                    <wps:wsp>
                      <wps:cNvPr id="3" name="Graphic 3"/>
                      <wps:cNvSpPr/>
                      <wps:spPr>
                        <a:xfrm>
                          <a:off x="0" y="0"/>
                          <a:ext cx="6311900" cy="1143635"/>
                        </a:xfrm>
                        <a:custGeom>
                          <a:avLst/>
                          <a:gdLst/>
                          <a:ahLst/>
                          <a:cxnLst/>
                          <a:rect l="l" t="t" r="r" b="b"/>
                          <a:pathLst>
                            <a:path w="6311900" h="1143635">
                              <a:moveTo>
                                <a:pt x="6311354" y="0"/>
                              </a:moveTo>
                              <a:lnTo>
                                <a:pt x="6139942" y="0"/>
                              </a:lnTo>
                              <a:lnTo>
                                <a:pt x="1316482" y="0"/>
                              </a:lnTo>
                              <a:lnTo>
                                <a:pt x="9334" y="0"/>
                              </a:lnTo>
                              <a:lnTo>
                                <a:pt x="9334" y="3048"/>
                              </a:lnTo>
                              <a:lnTo>
                                <a:pt x="1316482" y="3048"/>
                              </a:lnTo>
                              <a:lnTo>
                                <a:pt x="6139942" y="3048"/>
                              </a:lnTo>
                              <a:lnTo>
                                <a:pt x="6311354" y="3048"/>
                              </a:lnTo>
                              <a:lnTo>
                                <a:pt x="6311354" y="0"/>
                              </a:lnTo>
                              <a:close/>
                            </a:path>
                            <a:path w="6311900" h="1143635">
                              <a:moveTo>
                                <a:pt x="6311392" y="1088517"/>
                              </a:moveTo>
                              <a:lnTo>
                                <a:pt x="0" y="1088517"/>
                              </a:lnTo>
                              <a:lnTo>
                                <a:pt x="0" y="1143635"/>
                              </a:lnTo>
                              <a:lnTo>
                                <a:pt x="6311392" y="1143635"/>
                              </a:lnTo>
                              <a:lnTo>
                                <a:pt x="6311392" y="108851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79794" y="11861"/>
                          <a:ext cx="1203579" cy="1003630"/>
                        </a:xfrm>
                        <a:prstGeom prst="rect">
                          <a:avLst/>
                        </a:prstGeom>
                      </pic:spPr>
                    </pic:pic>
                  </wpg:wgp>
                </a:graphicData>
              </a:graphic>
            </wp:anchor>
          </w:drawing>
        </mc:Choice>
        <mc:Fallback>
          <w:pict>
            <v:group w14:anchorId="1E16D9E8" id="Group 1" o:spid="_x0000_s1026" style="position:absolute;margin-left:66.5pt;margin-top:26pt;width:497pt;height:90.05pt;z-index:-251662336;mso-wrap-distance-left:0;mso-wrap-distance-right:0;mso-position-horizontal-relative:page;mso-position-vertical-relative:page" coordsize="63119,11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">
              <v:shape id="Graphic 2" o:spid="_x0000_s1027" style="position:absolute;left:13134;top:29;width:48234;height:10827;visibility:visible;mso-wrap-style:square;v-text-anchor:top" coordsize="4823460,108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" path="m4823460,l,,,1082344r4823460,l4823460,xe" fillcolor="#dbe3ef" stroked="f">
                <v:path arrowok="t"/>
              </v:shape>
              <v:shape id="Graphic 3" o:spid="_x0000_s1028" style="position:absolute;width:63119;height:11436;visibility:visible;mso-wrap-style:square;v-text-anchor:top" coordsize="631190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" path="m6311354,l6139942,,1316482,,9334,r,3048l1316482,3048r4823460,l6311354,3048r,-3048xem6311392,1088517l,1088517r,55118l6311392,1143635r,-5511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797;top:118;width:12036;height:1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">
                <v:imagedata r:id="rId2" o:title=""/>
              </v:shape>
              <w10:wrap anchorx="page" anchory="page"/>
            </v:group>
          </w:pict>
        </mc:Fallback>
      </mc:AlternateContent>
    </w:r>
    <w:r>
      <w:rPr>
        <w:noProof/>
        <w:sz w:val="20"/>
      </w:rPr>
      <mc:AlternateContent>
        <mc:Choice Requires="wps">
          <w:drawing>
            <wp:anchor distT="0" distB="0" distL="0" distR="0" simplePos="0" relativeHeight="251656192" behindDoc="1" locked="0" layoutInCell="1" allowOverlap="1" wp14:anchorId="05F94877" wp14:editId="475DB5F3">
              <wp:simplePos x="0" y="0"/>
              <wp:positionH relativeFrom="page">
                <wp:posOffset>3499230</wp:posOffset>
              </wp:positionH>
              <wp:positionV relativeFrom="page">
                <wp:posOffset>477647</wp:posOffset>
              </wp:positionV>
              <wp:extent cx="196342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2400"/>
                      </a:xfrm>
                      <a:prstGeom prst="rect">
                        <a:avLst/>
                      </a:prstGeom>
                    </wps:spPr>
                    <wps:txbx>
                      <w:txbxContent>
                        <w:p w14:paraId="5F1E7B05" w14:textId="77777777" w:rsidR="00DF43C4" w:rsidRDefault="00000000">
                          <w:pPr>
                            <w:spacing w:line="223" w:lineRule="exact"/>
                            <w:ind w:left="20"/>
                            <w:rPr>
                              <w:rFonts w:ascii="Calibri"/>
                              <w:b/>
                              <w:sz w:val="20"/>
                            </w:rPr>
                          </w:pPr>
                          <w:r>
                            <w:rPr>
                              <w:rFonts w:ascii="Calibri"/>
                              <w:b/>
                              <w:sz w:val="20"/>
                            </w:rPr>
                            <w:t>Available</w:t>
                          </w:r>
                          <w:r>
                            <w:rPr>
                              <w:rFonts w:ascii="Calibri"/>
                              <w:b/>
                              <w:spacing w:val="-11"/>
                              <w:sz w:val="20"/>
                            </w:rPr>
                            <w:t xml:space="preserve"> </w:t>
                          </w:r>
                          <w:r>
                            <w:rPr>
                              <w:rFonts w:ascii="Calibri"/>
                              <w:b/>
                              <w:sz w:val="20"/>
                            </w:rPr>
                            <w:t>online</w:t>
                          </w:r>
                          <w:r>
                            <w:rPr>
                              <w:rFonts w:ascii="Calibri"/>
                              <w:b/>
                              <w:spacing w:val="-10"/>
                              <w:sz w:val="20"/>
                            </w:rPr>
                            <w:t xml:space="preserve"> </w:t>
                          </w:r>
                          <w:r>
                            <w:rPr>
                              <w:rFonts w:ascii="Calibri"/>
                              <w:b/>
                              <w:sz w:val="20"/>
                            </w:rPr>
                            <w:t>at</w:t>
                          </w:r>
                          <w:r>
                            <w:rPr>
                              <w:rFonts w:ascii="Calibri"/>
                              <w:b/>
                              <w:spacing w:val="-7"/>
                              <w:sz w:val="20"/>
                            </w:rPr>
                            <w:t xml:space="preserve"> </w:t>
                          </w:r>
                          <w:hyperlink r:id="rId3">
                            <w:r w:rsidR="00DF43C4">
                              <w:rPr>
                                <w:rFonts w:ascii="Calibri"/>
                                <w:b/>
                                <w:color w:val="0461C1"/>
                                <w:spacing w:val="-2"/>
                                <w:sz w:val="20"/>
                                <w:u w:val="single" w:color="0461C1"/>
                              </w:rPr>
                              <w:t>www.jomaar.com</w:t>
                            </w:r>
                          </w:hyperlink>
                        </w:p>
                      </w:txbxContent>
                    </wps:txbx>
                    <wps:bodyPr wrap="square" lIns="0" tIns="0" rIns="0" bIns="0" rtlCol="0">
                      <a:noAutofit/>
                    </wps:bodyPr>
                  </wps:wsp>
                </a:graphicData>
              </a:graphic>
            </wp:anchor>
          </w:drawing>
        </mc:Choice>
        <mc:Fallback>
          <w:pict>
            <v:shapetype w14:anchorId="05F94877" id="_x0000_t202" coordsize="21600,21600" o:spt="202" path="m,l,21600r21600,l21600,xe">
              <v:stroke joinstyle="miter"/>
              <v:path gradientshapeok="t" o:connecttype="rect"/>
            </v:shapetype>
            <v:shape id="Textbox 5" o:spid="_x0000_s1026" type="#_x0000_t202" style="position:absolute;margin-left:275.55pt;margin-top:37.6pt;width:154.6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" filled="f" stroked="f">
              <v:textbox inset="0,0,0,0">
                <w:txbxContent>
                  <w:p w14:paraId="5F1E7B05" w14:textId="77777777" w:rsidR="00DF43C4" w:rsidRDefault="00000000">
                    <w:pPr>
                      <w:spacing w:line="223" w:lineRule="exact"/>
                      <w:ind w:left="20"/>
                      <w:rPr>
                        <w:rFonts w:ascii="Calibri"/>
                        <w:b/>
                        <w:sz w:val="20"/>
                      </w:rPr>
                    </w:pPr>
                    <w:r>
                      <w:rPr>
                        <w:rFonts w:ascii="Calibri"/>
                        <w:b/>
                        <w:sz w:val="20"/>
                      </w:rPr>
                      <w:t>Available</w:t>
                    </w:r>
                    <w:r>
                      <w:rPr>
                        <w:rFonts w:ascii="Calibri"/>
                        <w:b/>
                        <w:spacing w:val="-11"/>
                        <w:sz w:val="20"/>
                      </w:rPr>
                      <w:t xml:space="preserve"> </w:t>
                    </w:r>
                    <w:r>
                      <w:rPr>
                        <w:rFonts w:ascii="Calibri"/>
                        <w:b/>
                        <w:sz w:val="20"/>
                      </w:rPr>
                      <w:t>online</w:t>
                    </w:r>
                    <w:r>
                      <w:rPr>
                        <w:rFonts w:ascii="Calibri"/>
                        <w:b/>
                        <w:spacing w:val="-10"/>
                        <w:sz w:val="20"/>
                      </w:rPr>
                      <w:t xml:space="preserve"> </w:t>
                    </w:r>
                    <w:r>
                      <w:rPr>
                        <w:rFonts w:ascii="Calibri"/>
                        <w:b/>
                        <w:sz w:val="20"/>
                      </w:rPr>
                      <w:t>at</w:t>
                    </w:r>
                    <w:r>
                      <w:rPr>
                        <w:rFonts w:ascii="Calibri"/>
                        <w:b/>
                        <w:spacing w:val="-7"/>
                        <w:sz w:val="20"/>
                      </w:rPr>
                      <w:t xml:space="preserve"> </w:t>
                    </w:r>
                    <w:hyperlink r:id="rId4">
                      <w:r>
                        <w:rPr>
                          <w:rFonts w:ascii="Calibri"/>
                          <w:b/>
                          <w:color w:val="0461C1"/>
                          <w:spacing w:val="-2"/>
                          <w:sz w:val="20"/>
                          <w:u w:val="single" w:color="0461C1"/>
                        </w:rPr>
                        <w:t>www.jomaar.com</w:t>
                      </w:r>
                    </w:hyperlink>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711A185F" wp14:editId="1125E056">
              <wp:simplePos x="0" y="0"/>
              <wp:positionH relativeFrom="page">
                <wp:posOffset>2580258</wp:posOffset>
              </wp:positionH>
              <wp:positionV relativeFrom="page">
                <wp:posOffset>843788</wp:posOffset>
              </wp:positionV>
              <wp:extent cx="3822700" cy="530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530225"/>
                      </a:xfrm>
                      <a:prstGeom prst="rect">
                        <a:avLst/>
                      </a:prstGeom>
                    </wps:spPr>
                    <wps:txbx>
                      <w:txbxContent>
                        <w:p w14:paraId="6AC34D18" w14:textId="77777777" w:rsidR="00DF43C4" w:rsidRDefault="00000000">
                          <w:pPr>
                            <w:spacing w:line="264" w:lineRule="exact"/>
                            <w:jc w:val="center"/>
                            <w:rPr>
                              <w:rFonts w:ascii="Calibri"/>
                              <w:b/>
                              <w:sz w:val="24"/>
                            </w:rPr>
                          </w:pPr>
                          <w:r>
                            <w:rPr>
                              <w:rFonts w:ascii="Calibri"/>
                              <w:b/>
                              <w:sz w:val="24"/>
                            </w:rPr>
                            <w:t>JOURNAL</w:t>
                          </w:r>
                          <w:r>
                            <w:rPr>
                              <w:rFonts w:ascii="Calibri"/>
                              <w:b/>
                              <w:spacing w:val="-14"/>
                              <w:sz w:val="24"/>
                            </w:rPr>
                            <w:t xml:space="preserve"> </w:t>
                          </w:r>
                          <w:r>
                            <w:rPr>
                              <w:rFonts w:ascii="Calibri"/>
                              <w:b/>
                              <w:sz w:val="24"/>
                            </w:rPr>
                            <w:t>OF</w:t>
                          </w:r>
                          <w:r>
                            <w:rPr>
                              <w:rFonts w:ascii="Calibri"/>
                              <w:b/>
                              <w:spacing w:val="-11"/>
                              <w:sz w:val="24"/>
                            </w:rPr>
                            <w:t xml:space="preserve"> </w:t>
                          </w:r>
                          <w:r>
                            <w:rPr>
                              <w:rFonts w:ascii="Calibri"/>
                              <w:b/>
                              <w:sz w:val="24"/>
                            </w:rPr>
                            <w:t>MANAGEMENT</w:t>
                          </w:r>
                          <w:r>
                            <w:rPr>
                              <w:rFonts w:ascii="Calibri"/>
                              <w:b/>
                              <w:spacing w:val="-7"/>
                              <w:sz w:val="24"/>
                            </w:rPr>
                            <w:t xml:space="preserve"> </w:t>
                          </w:r>
                          <w:r>
                            <w:rPr>
                              <w:rFonts w:ascii="Calibri"/>
                              <w:b/>
                              <w:sz w:val="24"/>
                            </w:rPr>
                            <w:t>AND</w:t>
                          </w:r>
                          <w:r>
                            <w:rPr>
                              <w:rFonts w:ascii="Calibri"/>
                              <w:b/>
                              <w:spacing w:val="-7"/>
                              <w:sz w:val="24"/>
                            </w:rPr>
                            <w:t xml:space="preserve"> </w:t>
                          </w:r>
                          <w:r>
                            <w:rPr>
                              <w:rFonts w:ascii="Calibri"/>
                              <w:b/>
                              <w:sz w:val="24"/>
                            </w:rPr>
                            <w:t>ARCHITECTURE</w:t>
                          </w:r>
                          <w:r>
                            <w:rPr>
                              <w:rFonts w:ascii="Calibri"/>
                              <w:b/>
                              <w:spacing w:val="-8"/>
                              <w:sz w:val="24"/>
                            </w:rPr>
                            <w:t xml:space="preserve"> </w:t>
                          </w:r>
                          <w:r>
                            <w:rPr>
                              <w:rFonts w:ascii="Calibri"/>
                              <w:b/>
                              <w:spacing w:val="-2"/>
                              <w:sz w:val="24"/>
                            </w:rPr>
                            <w:t>RESEARCH</w:t>
                          </w:r>
                        </w:p>
                        <w:p w14:paraId="61718721" w14:textId="77777777" w:rsidR="00DF43C4" w:rsidRDefault="00000000">
                          <w:pPr>
                            <w:spacing w:before="26"/>
                            <w:ind w:left="60"/>
                            <w:jc w:val="center"/>
                            <w:rPr>
                              <w:rFonts w:ascii="Calibri"/>
                              <w:b/>
                              <w:sz w:val="20"/>
                            </w:rPr>
                          </w:pPr>
                          <w:r>
                            <w:rPr>
                              <w:rFonts w:ascii="Calibri"/>
                              <w:b/>
                              <w:sz w:val="20"/>
                            </w:rPr>
                            <w:t>E</w:t>
                          </w:r>
                          <w:r>
                            <w:rPr>
                              <w:rFonts w:ascii="Calibri"/>
                              <w:b/>
                              <w:spacing w:val="-8"/>
                              <w:sz w:val="20"/>
                            </w:rPr>
                            <w:t xml:space="preserve"> </w:t>
                          </w:r>
                          <w:r>
                            <w:rPr>
                              <w:rFonts w:ascii="Calibri"/>
                              <w:b/>
                              <w:sz w:val="20"/>
                            </w:rPr>
                            <w:t>ISSN:</w:t>
                          </w:r>
                          <w:r>
                            <w:rPr>
                              <w:rFonts w:ascii="Calibri"/>
                              <w:b/>
                              <w:spacing w:val="-8"/>
                              <w:sz w:val="20"/>
                            </w:rPr>
                            <w:t xml:space="preserve"> </w:t>
                          </w:r>
                          <w:r>
                            <w:rPr>
                              <w:rFonts w:ascii="Calibri"/>
                              <w:b/>
                              <w:sz w:val="20"/>
                            </w:rPr>
                            <w:t>2689</w:t>
                          </w:r>
                          <w:r>
                            <w:rPr>
                              <w:rFonts w:ascii="Calibri"/>
                              <w:b/>
                              <w:spacing w:val="-8"/>
                              <w:sz w:val="20"/>
                            </w:rPr>
                            <w:t xml:space="preserve"> </w:t>
                          </w:r>
                          <w:r>
                            <w:rPr>
                              <w:rFonts w:ascii="Calibri"/>
                              <w:b/>
                              <w:sz w:val="20"/>
                            </w:rPr>
                            <w:t>3541;</w:t>
                          </w:r>
                          <w:r>
                            <w:rPr>
                              <w:rFonts w:ascii="Calibri"/>
                              <w:b/>
                              <w:spacing w:val="-9"/>
                              <w:sz w:val="20"/>
                            </w:rPr>
                            <w:t xml:space="preserve"> </w:t>
                          </w:r>
                          <w:r>
                            <w:rPr>
                              <w:rFonts w:ascii="Calibri"/>
                              <w:b/>
                              <w:sz w:val="20"/>
                            </w:rPr>
                            <w:t>P</w:t>
                          </w:r>
                          <w:r>
                            <w:rPr>
                              <w:rFonts w:ascii="Calibri"/>
                              <w:b/>
                              <w:spacing w:val="-9"/>
                              <w:sz w:val="20"/>
                            </w:rPr>
                            <w:t xml:space="preserve"> </w:t>
                          </w:r>
                          <w:r>
                            <w:rPr>
                              <w:rFonts w:ascii="Calibri"/>
                              <w:b/>
                              <w:sz w:val="20"/>
                            </w:rPr>
                            <w:t>ISSN</w:t>
                          </w:r>
                          <w:r>
                            <w:rPr>
                              <w:rFonts w:ascii="Calibri"/>
                              <w:b/>
                              <w:spacing w:val="-7"/>
                              <w:sz w:val="20"/>
                            </w:rPr>
                            <w:t xml:space="preserve"> </w:t>
                          </w:r>
                          <w:r>
                            <w:rPr>
                              <w:rFonts w:ascii="Calibri"/>
                              <w:b/>
                              <w:sz w:val="20"/>
                            </w:rPr>
                            <w:t>2689</w:t>
                          </w:r>
                          <w:r>
                            <w:rPr>
                              <w:rFonts w:ascii="Calibri"/>
                              <w:b/>
                              <w:spacing w:val="-6"/>
                              <w:sz w:val="20"/>
                            </w:rPr>
                            <w:t xml:space="preserve"> </w:t>
                          </w:r>
                          <w:r>
                            <w:rPr>
                              <w:rFonts w:ascii="Calibri"/>
                              <w:b/>
                              <w:spacing w:val="-4"/>
                              <w:sz w:val="20"/>
                            </w:rPr>
                            <w:t>355X</w:t>
                          </w:r>
                        </w:p>
                        <w:p w14:paraId="5B59EF07" w14:textId="527DE1A3" w:rsidR="00DF43C4" w:rsidRDefault="00000000">
                          <w:pPr>
                            <w:spacing w:before="39"/>
                            <w:ind w:left="10"/>
                            <w:jc w:val="center"/>
                            <w:rPr>
                              <w:rFonts w:ascii="Calibri"/>
                              <w:b/>
                              <w:sz w:val="20"/>
                            </w:rPr>
                          </w:pPr>
                          <w:r>
                            <w:rPr>
                              <w:rFonts w:ascii="Calibri"/>
                              <w:b/>
                              <w:spacing w:val="-2"/>
                              <w:sz w:val="20"/>
                            </w:rPr>
                            <w:t>Volume:07;</w:t>
                          </w:r>
                          <w:r>
                            <w:rPr>
                              <w:rFonts w:ascii="Calibri"/>
                              <w:b/>
                              <w:spacing w:val="-1"/>
                              <w:sz w:val="20"/>
                            </w:rPr>
                            <w:t xml:space="preserve"> </w:t>
                          </w:r>
                          <w:r>
                            <w:rPr>
                              <w:rFonts w:ascii="Calibri"/>
                              <w:b/>
                              <w:spacing w:val="-2"/>
                              <w:sz w:val="20"/>
                            </w:rPr>
                            <w:t>Issue:</w:t>
                          </w:r>
                          <w:r w:rsidR="00BB5C33">
                            <w:rPr>
                              <w:rFonts w:ascii="Calibri"/>
                              <w:b/>
                              <w:spacing w:val="-2"/>
                              <w:sz w:val="20"/>
                            </w:rPr>
                            <w:t>11</w:t>
                          </w:r>
                          <w:r>
                            <w:rPr>
                              <w:rFonts w:ascii="Calibri"/>
                              <w:b/>
                              <w:spacing w:val="2"/>
                              <w:sz w:val="20"/>
                            </w:rPr>
                            <w:t xml:space="preserve"> </w:t>
                          </w:r>
                          <w:r>
                            <w:rPr>
                              <w:rFonts w:ascii="Calibri"/>
                              <w:b/>
                              <w:spacing w:val="-2"/>
                              <w:sz w:val="20"/>
                            </w:rPr>
                            <w:t>(2025)</w:t>
                          </w:r>
                        </w:p>
                      </w:txbxContent>
                    </wps:txbx>
                    <wps:bodyPr wrap="square" lIns="0" tIns="0" rIns="0" bIns="0" rtlCol="0">
                      <a:noAutofit/>
                    </wps:bodyPr>
                  </wps:wsp>
                </a:graphicData>
              </a:graphic>
            </wp:anchor>
          </w:drawing>
        </mc:Choice>
        <mc:Fallback>
          <w:pict>
            <v:shapetype w14:anchorId="711A185F" id="_x0000_t202" coordsize="21600,21600" o:spt="202" path="m,l,21600r21600,l21600,xe">
              <v:stroke joinstyle="miter"/>
              <v:path gradientshapeok="t" o:connecttype="rect"/>
            </v:shapetype>
            <v:shape id="Textbox 6" o:spid="_x0000_s1027" type="#_x0000_t202" style="position:absolute;margin-left:203.15pt;margin-top:66.45pt;width:301pt;height:4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" filled="f" stroked="f">
              <v:textbox inset="0,0,0,0">
                <w:txbxContent>
                  <w:p w14:paraId="6AC34D18" w14:textId="77777777" w:rsidR="00DF43C4" w:rsidRDefault="00000000">
                    <w:pPr>
                      <w:spacing w:line="264" w:lineRule="exact"/>
                      <w:jc w:val="center"/>
                      <w:rPr>
                        <w:rFonts w:ascii="Calibri"/>
                        <w:b/>
                        <w:sz w:val="24"/>
                      </w:rPr>
                    </w:pPr>
                    <w:r>
                      <w:rPr>
                        <w:rFonts w:ascii="Calibri"/>
                        <w:b/>
                        <w:sz w:val="24"/>
                      </w:rPr>
                      <w:t>JOURNAL</w:t>
                    </w:r>
                    <w:r>
                      <w:rPr>
                        <w:rFonts w:ascii="Calibri"/>
                        <w:b/>
                        <w:spacing w:val="-14"/>
                        <w:sz w:val="24"/>
                      </w:rPr>
                      <w:t xml:space="preserve"> </w:t>
                    </w:r>
                    <w:r>
                      <w:rPr>
                        <w:rFonts w:ascii="Calibri"/>
                        <w:b/>
                        <w:sz w:val="24"/>
                      </w:rPr>
                      <w:t>OF</w:t>
                    </w:r>
                    <w:r>
                      <w:rPr>
                        <w:rFonts w:ascii="Calibri"/>
                        <w:b/>
                        <w:spacing w:val="-11"/>
                        <w:sz w:val="24"/>
                      </w:rPr>
                      <w:t xml:space="preserve"> </w:t>
                    </w:r>
                    <w:r>
                      <w:rPr>
                        <w:rFonts w:ascii="Calibri"/>
                        <w:b/>
                        <w:sz w:val="24"/>
                      </w:rPr>
                      <w:t>MANAGEMENT</w:t>
                    </w:r>
                    <w:r>
                      <w:rPr>
                        <w:rFonts w:ascii="Calibri"/>
                        <w:b/>
                        <w:spacing w:val="-7"/>
                        <w:sz w:val="24"/>
                      </w:rPr>
                      <w:t xml:space="preserve"> </w:t>
                    </w:r>
                    <w:r>
                      <w:rPr>
                        <w:rFonts w:ascii="Calibri"/>
                        <w:b/>
                        <w:sz w:val="24"/>
                      </w:rPr>
                      <w:t>AND</w:t>
                    </w:r>
                    <w:r>
                      <w:rPr>
                        <w:rFonts w:ascii="Calibri"/>
                        <w:b/>
                        <w:spacing w:val="-7"/>
                        <w:sz w:val="24"/>
                      </w:rPr>
                      <w:t xml:space="preserve"> </w:t>
                    </w:r>
                    <w:r>
                      <w:rPr>
                        <w:rFonts w:ascii="Calibri"/>
                        <w:b/>
                        <w:sz w:val="24"/>
                      </w:rPr>
                      <w:t>ARCHITECTURE</w:t>
                    </w:r>
                    <w:r>
                      <w:rPr>
                        <w:rFonts w:ascii="Calibri"/>
                        <w:b/>
                        <w:spacing w:val="-8"/>
                        <w:sz w:val="24"/>
                      </w:rPr>
                      <w:t xml:space="preserve"> </w:t>
                    </w:r>
                    <w:r>
                      <w:rPr>
                        <w:rFonts w:ascii="Calibri"/>
                        <w:b/>
                        <w:spacing w:val="-2"/>
                        <w:sz w:val="24"/>
                      </w:rPr>
                      <w:t>RESEARCH</w:t>
                    </w:r>
                  </w:p>
                  <w:p w14:paraId="61718721" w14:textId="77777777" w:rsidR="00DF43C4" w:rsidRDefault="00000000">
                    <w:pPr>
                      <w:spacing w:before="26"/>
                      <w:ind w:left="60"/>
                      <w:jc w:val="center"/>
                      <w:rPr>
                        <w:rFonts w:ascii="Calibri"/>
                        <w:b/>
                        <w:sz w:val="20"/>
                      </w:rPr>
                    </w:pPr>
                    <w:r>
                      <w:rPr>
                        <w:rFonts w:ascii="Calibri"/>
                        <w:b/>
                        <w:sz w:val="20"/>
                      </w:rPr>
                      <w:t>E</w:t>
                    </w:r>
                    <w:r>
                      <w:rPr>
                        <w:rFonts w:ascii="Calibri"/>
                        <w:b/>
                        <w:spacing w:val="-8"/>
                        <w:sz w:val="20"/>
                      </w:rPr>
                      <w:t xml:space="preserve"> </w:t>
                    </w:r>
                    <w:r>
                      <w:rPr>
                        <w:rFonts w:ascii="Calibri"/>
                        <w:b/>
                        <w:sz w:val="20"/>
                      </w:rPr>
                      <w:t>ISSN:</w:t>
                    </w:r>
                    <w:r>
                      <w:rPr>
                        <w:rFonts w:ascii="Calibri"/>
                        <w:b/>
                        <w:spacing w:val="-8"/>
                        <w:sz w:val="20"/>
                      </w:rPr>
                      <w:t xml:space="preserve"> </w:t>
                    </w:r>
                    <w:r>
                      <w:rPr>
                        <w:rFonts w:ascii="Calibri"/>
                        <w:b/>
                        <w:sz w:val="20"/>
                      </w:rPr>
                      <w:t>2689</w:t>
                    </w:r>
                    <w:r>
                      <w:rPr>
                        <w:rFonts w:ascii="Calibri"/>
                        <w:b/>
                        <w:spacing w:val="-8"/>
                        <w:sz w:val="20"/>
                      </w:rPr>
                      <w:t xml:space="preserve"> </w:t>
                    </w:r>
                    <w:r>
                      <w:rPr>
                        <w:rFonts w:ascii="Calibri"/>
                        <w:b/>
                        <w:sz w:val="20"/>
                      </w:rPr>
                      <w:t>3541;</w:t>
                    </w:r>
                    <w:r>
                      <w:rPr>
                        <w:rFonts w:ascii="Calibri"/>
                        <w:b/>
                        <w:spacing w:val="-9"/>
                        <w:sz w:val="20"/>
                      </w:rPr>
                      <w:t xml:space="preserve"> </w:t>
                    </w:r>
                    <w:r>
                      <w:rPr>
                        <w:rFonts w:ascii="Calibri"/>
                        <w:b/>
                        <w:sz w:val="20"/>
                      </w:rPr>
                      <w:t>P</w:t>
                    </w:r>
                    <w:r>
                      <w:rPr>
                        <w:rFonts w:ascii="Calibri"/>
                        <w:b/>
                        <w:spacing w:val="-9"/>
                        <w:sz w:val="20"/>
                      </w:rPr>
                      <w:t xml:space="preserve"> </w:t>
                    </w:r>
                    <w:r>
                      <w:rPr>
                        <w:rFonts w:ascii="Calibri"/>
                        <w:b/>
                        <w:sz w:val="20"/>
                      </w:rPr>
                      <w:t>ISSN</w:t>
                    </w:r>
                    <w:r>
                      <w:rPr>
                        <w:rFonts w:ascii="Calibri"/>
                        <w:b/>
                        <w:spacing w:val="-7"/>
                        <w:sz w:val="20"/>
                      </w:rPr>
                      <w:t xml:space="preserve"> </w:t>
                    </w:r>
                    <w:r>
                      <w:rPr>
                        <w:rFonts w:ascii="Calibri"/>
                        <w:b/>
                        <w:sz w:val="20"/>
                      </w:rPr>
                      <w:t>2689</w:t>
                    </w:r>
                    <w:r>
                      <w:rPr>
                        <w:rFonts w:ascii="Calibri"/>
                        <w:b/>
                        <w:spacing w:val="-6"/>
                        <w:sz w:val="20"/>
                      </w:rPr>
                      <w:t xml:space="preserve"> </w:t>
                    </w:r>
                    <w:r>
                      <w:rPr>
                        <w:rFonts w:ascii="Calibri"/>
                        <w:b/>
                        <w:spacing w:val="-4"/>
                        <w:sz w:val="20"/>
                      </w:rPr>
                      <w:t>355X</w:t>
                    </w:r>
                  </w:p>
                  <w:p w14:paraId="5B59EF07" w14:textId="527DE1A3" w:rsidR="00DF43C4" w:rsidRDefault="00000000">
                    <w:pPr>
                      <w:spacing w:before="39"/>
                      <w:ind w:left="10"/>
                      <w:jc w:val="center"/>
                      <w:rPr>
                        <w:rFonts w:ascii="Calibri"/>
                        <w:b/>
                        <w:sz w:val="20"/>
                      </w:rPr>
                    </w:pPr>
                    <w:r>
                      <w:rPr>
                        <w:rFonts w:ascii="Calibri"/>
                        <w:b/>
                        <w:spacing w:val="-2"/>
                        <w:sz w:val="20"/>
                      </w:rPr>
                      <w:t>Volume:07;</w:t>
                    </w:r>
                    <w:r>
                      <w:rPr>
                        <w:rFonts w:ascii="Calibri"/>
                        <w:b/>
                        <w:spacing w:val="-1"/>
                        <w:sz w:val="20"/>
                      </w:rPr>
                      <w:t xml:space="preserve"> </w:t>
                    </w:r>
                    <w:r>
                      <w:rPr>
                        <w:rFonts w:ascii="Calibri"/>
                        <w:b/>
                        <w:spacing w:val="-2"/>
                        <w:sz w:val="20"/>
                      </w:rPr>
                      <w:t>Issue:</w:t>
                    </w:r>
                    <w:r w:rsidR="00BB5C33">
                      <w:rPr>
                        <w:rFonts w:ascii="Calibri"/>
                        <w:b/>
                        <w:spacing w:val="-2"/>
                        <w:sz w:val="20"/>
                      </w:rPr>
                      <w:t>11</w:t>
                    </w:r>
                    <w:r>
                      <w:rPr>
                        <w:rFonts w:ascii="Calibri"/>
                        <w:b/>
                        <w:spacing w:val="2"/>
                        <w:sz w:val="20"/>
                      </w:rPr>
                      <w:t xml:space="preserve"> </w:t>
                    </w:r>
                    <w:r>
                      <w:rPr>
                        <w:rFonts w:ascii="Calibri"/>
                        <w:b/>
                        <w:spacing w:val="-2"/>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7D7"/>
    <w:multiLevelType w:val="multilevel"/>
    <w:tmpl w:val="FFFFFFFF"/>
    <w:lvl w:ilvl="0">
      <w:start w:val="1"/>
      <w:numFmt w:val="decimal"/>
      <w:lvlText w:val="%1."/>
      <w:lvlJc w:val="left"/>
      <w:pPr>
        <w:ind w:left="720" w:hanging="360"/>
      </w:pPr>
      <w:rPr>
        <w:rFonts w:ascii="Arial" w:eastAsia="Times New Roman" w:hAnsi="Arial"/>
        <w:color w:val="000000"/>
        <w:sz w:val="22"/>
      </w:rPr>
    </w:lvl>
    <w:lvl w:ilvl="1">
      <w:start w:val="1"/>
      <w:numFmt w:val="bullet"/>
      <w:lvlText w:val="○"/>
      <w:lvlJc w:val="left"/>
      <w:pPr>
        <w:ind w:left="1680" w:hanging="360"/>
      </w:pPr>
      <w:rPr>
        <w:rFonts w:ascii="Arial" w:eastAsia="Times New Roman" w:hAnsi="Arial"/>
        <w:color w:val="000000"/>
        <w:sz w:val="22"/>
      </w:rPr>
    </w:lvl>
    <w:lvl w:ilvl="2">
      <w:start w:val="1"/>
      <w:numFmt w:val="bullet"/>
      <w:lvlText w:val="■"/>
      <w:lvlJc w:val="left"/>
      <w:pPr>
        <w:ind w:left="2400" w:hanging="360"/>
      </w:pPr>
      <w:rPr>
        <w:rFonts w:ascii="Arial" w:eastAsia="Times New Roman" w:hAnsi="Arial"/>
        <w:color w:val="000000"/>
        <w:sz w:val="22"/>
      </w:rPr>
    </w:lvl>
    <w:lvl w:ilvl="3">
      <w:start w:val="1"/>
      <w:numFmt w:val="bullet"/>
      <w:lvlText w:val="■"/>
      <w:lvlJc w:val="left"/>
      <w:pPr>
        <w:ind w:left="3120" w:hanging="360"/>
      </w:pPr>
      <w:rPr>
        <w:rFonts w:ascii="Arial" w:eastAsia="Times New Roman" w:hAnsi="Arial"/>
        <w:color w:val="000000"/>
        <w:sz w:val="22"/>
      </w:rPr>
    </w:lvl>
    <w:lvl w:ilvl="4">
      <w:start w:val="1"/>
      <w:numFmt w:val="bullet"/>
      <w:lvlText w:val="■"/>
      <w:lvlJc w:val="left"/>
      <w:pPr>
        <w:ind w:left="3840" w:hanging="360"/>
      </w:pPr>
      <w:rPr>
        <w:rFonts w:ascii="Arial" w:eastAsia="Times New Roman" w:hAnsi="Arial"/>
        <w:color w:val="000000"/>
        <w:sz w:val="22"/>
      </w:rPr>
    </w:lvl>
    <w:lvl w:ilvl="5">
      <w:start w:val="1"/>
      <w:numFmt w:val="bullet"/>
      <w:lvlText w:val="■"/>
      <w:lvlJc w:val="left"/>
      <w:pPr>
        <w:ind w:left="4560" w:hanging="360"/>
      </w:pPr>
      <w:rPr>
        <w:rFonts w:ascii="Arial" w:eastAsia="Times New Roman" w:hAnsi="Arial"/>
        <w:color w:val="000000"/>
        <w:sz w:val="22"/>
      </w:rPr>
    </w:lvl>
    <w:lvl w:ilvl="6">
      <w:start w:val="1"/>
      <w:numFmt w:val="bullet"/>
      <w:lvlText w:val="■"/>
      <w:lvlJc w:val="left"/>
      <w:pPr>
        <w:ind w:left="5280" w:hanging="360"/>
      </w:pPr>
      <w:rPr>
        <w:rFonts w:ascii="Arial" w:eastAsia="Times New Roman" w:hAnsi="Arial"/>
        <w:color w:val="000000"/>
        <w:sz w:val="22"/>
      </w:rPr>
    </w:lvl>
    <w:lvl w:ilvl="7">
      <w:start w:val="1"/>
      <w:numFmt w:val="bullet"/>
      <w:lvlText w:val="■"/>
      <w:lvlJc w:val="left"/>
      <w:pPr>
        <w:ind w:left="6000" w:hanging="360"/>
      </w:pPr>
      <w:rPr>
        <w:rFonts w:ascii="Arial" w:eastAsia="Times New Roman" w:hAnsi="Arial"/>
        <w:color w:val="000000"/>
        <w:sz w:val="22"/>
      </w:rPr>
    </w:lvl>
    <w:lvl w:ilvl="8">
      <w:start w:val="1"/>
      <w:numFmt w:val="bullet"/>
      <w:lvlText w:val="■"/>
      <w:lvlJc w:val="left"/>
      <w:pPr>
        <w:ind w:left="6720" w:hanging="360"/>
      </w:pPr>
      <w:rPr>
        <w:rFonts w:ascii="Arial" w:eastAsia="Times New Roman" w:hAnsi="Arial"/>
        <w:color w:val="000000"/>
        <w:sz w:val="22"/>
      </w:rPr>
    </w:lvl>
  </w:abstractNum>
  <w:abstractNum w:abstractNumId="1" w15:restartNumberingAfterBreak="0">
    <w:nsid w:val="0F985C01"/>
    <w:multiLevelType w:val="multilevel"/>
    <w:tmpl w:val="965E230C"/>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hint="default"/>
        <w:spacing w:val="0"/>
        <w:w w:val="100"/>
        <w:lang w:val="en-US" w:eastAsia="en-US" w:bidi="ar-SA"/>
      </w:rPr>
    </w:lvl>
    <w:lvl w:ilvl="2">
      <w:numFmt w:val="bullet"/>
      <w:lvlText w:val="•"/>
      <w:lvlJc w:val="left"/>
      <w:pPr>
        <w:ind w:left="36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942" w:hanging="420"/>
      </w:pPr>
      <w:rPr>
        <w:rFonts w:hint="default"/>
        <w:lang w:val="en-US" w:eastAsia="en-US" w:bidi="ar-SA"/>
      </w:rPr>
    </w:lvl>
    <w:lvl w:ilvl="4">
      <w:numFmt w:val="bullet"/>
      <w:lvlText w:val="•"/>
      <w:lvlJc w:val="left"/>
      <w:pPr>
        <w:ind w:left="3105" w:hanging="420"/>
      </w:pPr>
      <w:rPr>
        <w:rFonts w:hint="default"/>
        <w:lang w:val="en-US" w:eastAsia="en-US" w:bidi="ar-SA"/>
      </w:rPr>
    </w:lvl>
    <w:lvl w:ilvl="5">
      <w:numFmt w:val="bullet"/>
      <w:lvlText w:val="•"/>
      <w:lvlJc w:val="left"/>
      <w:pPr>
        <w:ind w:left="4267" w:hanging="420"/>
      </w:pPr>
      <w:rPr>
        <w:rFonts w:hint="default"/>
        <w:lang w:val="en-US" w:eastAsia="en-US" w:bidi="ar-SA"/>
      </w:rPr>
    </w:lvl>
    <w:lvl w:ilvl="6">
      <w:numFmt w:val="bullet"/>
      <w:lvlText w:val="•"/>
      <w:lvlJc w:val="left"/>
      <w:pPr>
        <w:ind w:left="5430" w:hanging="420"/>
      </w:pPr>
      <w:rPr>
        <w:rFonts w:hint="default"/>
        <w:lang w:val="en-US" w:eastAsia="en-US" w:bidi="ar-SA"/>
      </w:rPr>
    </w:lvl>
    <w:lvl w:ilvl="7">
      <w:numFmt w:val="bullet"/>
      <w:lvlText w:val="•"/>
      <w:lvlJc w:val="left"/>
      <w:pPr>
        <w:ind w:left="6592" w:hanging="420"/>
      </w:pPr>
      <w:rPr>
        <w:rFonts w:hint="default"/>
        <w:lang w:val="en-US" w:eastAsia="en-US" w:bidi="ar-SA"/>
      </w:rPr>
    </w:lvl>
    <w:lvl w:ilvl="8">
      <w:numFmt w:val="bullet"/>
      <w:lvlText w:val="•"/>
      <w:lvlJc w:val="left"/>
      <w:pPr>
        <w:ind w:left="7755" w:hanging="420"/>
      </w:pPr>
      <w:rPr>
        <w:rFonts w:hint="default"/>
        <w:lang w:val="en-US" w:eastAsia="en-US" w:bidi="ar-SA"/>
      </w:rPr>
    </w:lvl>
  </w:abstractNum>
  <w:abstractNum w:abstractNumId="2" w15:restartNumberingAfterBreak="0">
    <w:nsid w:val="1438503B"/>
    <w:multiLevelType w:val="multilevel"/>
    <w:tmpl w:val="FFFFFFFF"/>
    <w:lvl w:ilvl="0">
      <w:start w:val="1"/>
      <w:numFmt w:val="bullet"/>
      <w:lvlText w:val="●"/>
      <w:lvlJc w:val="left"/>
      <w:pPr>
        <w:ind w:left="720" w:hanging="360"/>
      </w:pPr>
      <w:rPr>
        <w:rFonts w:ascii="Arial" w:eastAsia="Times New Roman" w:hAnsi="Arial"/>
        <w:color w:val="000000"/>
        <w:sz w:val="22"/>
      </w:rPr>
    </w:lvl>
    <w:lvl w:ilvl="1">
      <w:start w:val="1"/>
      <w:numFmt w:val="bullet"/>
      <w:lvlText w:val="○"/>
      <w:lvlJc w:val="left"/>
      <w:pPr>
        <w:ind w:left="1695" w:hanging="360"/>
      </w:pPr>
      <w:rPr>
        <w:rFonts w:ascii="Arial" w:eastAsia="Times New Roman" w:hAnsi="Arial"/>
        <w:color w:val="000000"/>
        <w:sz w:val="22"/>
      </w:rPr>
    </w:lvl>
    <w:lvl w:ilvl="2">
      <w:start w:val="1"/>
      <w:numFmt w:val="bullet"/>
      <w:lvlText w:val="■"/>
      <w:lvlJc w:val="left"/>
      <w:pPr>
        <w:ind w:left="2415" w:hanging="360"/>
      </w:pPr>
      <w:rPr>
        <w:rFonts w:ascii="Arial" w:eastAsia="Times New Roman" w:hAnsi="Arial"/>
        <w:color w:val="000000"/>
        <w:sz w:val="22"/>
      </w:rPr>
    </w:lvl>
    <w:lvl w:ilvl="3">
      <w:start w:val="1"/>
      <w:numFmt w:val="bullet"/>
      <w:lvlText w:val="■"/>
      <w:lvlJc w:val="left"/>
      <w:pPr>
        <w:ind w:left="3135" w:hanging="360"/>
      </w:pPr>
      <w:rPr>
        <w:rFonts w:ascii="Arial" w:eastAsia="Times New Roman" w:hAnsi="Arial"/>
        <w:color w:val="000000"/>
        <w:sz w:val="22"/>
      </w:rPr>
    </w:lvl>
    <w:lvl w:ilvl="4">
      <w:start w:val="1"/>
      <w:numFmt w:val="bullet"/>
      <w:lvlText w:val="■"/>
      <w:lvlJc w:val="left"/>
      <w:pPr>
        <w:ind w:left="3855" w:hanging="360"/>
      </w:pPr>
      <w:rPr>
        <w:rFonts w:ascii="Arial" w:eastAsia="Times New Roman" w:hAnsi="Arial"/>
        <w:color w:val="000000"/>
        <w:sz w:val="22"/>
      </w:rPr>
    </w:lvl>
    <w:lvl w:ilvl="5">
      <w:start w:val="1"/>
      <w:numFmt w:val="bullet"/>
      <w:lvlText w:val="■"/>
      <w:lvlJc w:val="left"/>
      <w:pPr>
        <w:ind w:left="4575" w:hanging="360"/>
      </w:pPr>
      <w:rPr>
        <w:rFonts w:ascii="Arial" w:eastAsia="Times New Roman" w:hAnsi="Arial"/>
        <w:color w:val="000000"/>
        <w:sz w:val="22"/>
      </w:rPr>
    </w:lvl>
    <w:lvl w:ilvl="6">
      <w:start w:val="1"/>
      <w:numFmt w:val="bullet"/>
      <w:lvlText w:val="■"/>
      <w:lvlJc w:val="left"/>
      <w:pPr>
        <w:ind w:left="5295" w:hanging="360"/>
      </w:pPr>
      <w:rPr>
        <w:rFonts w:ascii="Arial" w:eastAsia="Times New Roman" w:hAnsi="Arial"/>
        <w:color w:val="000000"/>
        <w:sz w:val="22"/>
      </w:rPr>
    </w:lvl>
    <w:lvl w:ilvl="7">
      <w:start w:val="1"/>
      <w:numFmt w:val="bullet"/>
      <w:lvlText w:val="■"/>
      <w:lvlJc w:val="left"/>
      <w:pPr>
        <w:ind w:left="6015" w:hanging="360"/>
      </w:pPr>
      <w:rPr>
        <w:rFonts w:ascii="Arial" w:eastAsia="Times New Roman" w:hAnsi="Arial"/>
        <w:color w:val="000000"/>
        <w:sz w:val="22"/>
      </w:rPr>
    </w:lvl>
    <w:lvl w:ilvl="8">
      <w:start w:val="1"/>
      <w:numFmt w:val="bullet"/>
      <w:lvlText w:val="■"/>
      <w:lvlJc w:val="left"/>
      <w:pPr>
        <w:ind w:left="6735" w:hanging="360"/>
      </w:pPr>
      <w:rPr>
        <w:rFonts w:ascii="Arial" w:eastAsia="Times New Roman" w:hAnsi="Arial"/>
        <w:color w:val="000000"/>
        <w:sz w:val="22"/>
      </w:rPr>
    </w:lvl>
  </w:abstractNum>
  <w:abstractNum w:abstractNumId="3" w15:restartNumberingAfterBreak="0">
    <w:nsid w:val="16631717"/>
    <w:multiLevelType w:val="multilevel"/>
    <w:tmpl w:val="FFFFFFFF"/>
    <w:lvl w:ilvl="0">
      <w:start w:val="1"/>
      <w:numFmt w:val="bullet"/>
      <w:lvlText w:val="●"/>
      <w:lvlJc w:val="left"/>
      <w:pPr>
        <w:ind w:left="465" w:hanging="360"/>
      </w:pPr>
      <w:rPr>
        <w:rFonts w:ascii="Arial" w:eastAsia="Times New Roman" w:hAnsi="Arial"/>
        <w:color w:val="000000"/>
        <w:sz w:val="22"/>
      </w:rPr>
    </w:lvl>
    <w:lvl w:ilvl="1">
      <w:start w:val="1"/>
      <w:numFmt w:val="bullet"/>
      <w:lvlText w:val="○"/>
      <w:lvlJc w:val="left"/>
      <w:pPr>
        <w:ind w:left="1440" w:hanging="360"/>
      </w:pPr>
      <w:rPr>
        <w:rFonts w:ascii="Arial" w:eastAsia="Times New Roman" w:hAnsi="Arial"/>
        <w:color w:val="000000"/>
        <w:sz w:val="22"/>
      </w:rPr>
    </w:lvl>
    <w:lvl w:ilvl="2">
      <w:start w:val="1"/>
      <w:numFmt w:val="bullet"/>
      <w:lvlText w:val="■"/>
      <w:lvlJc w:val="left"/>
      <w:pPr>
        <w:ind w:left="2160" w:hanging="360"/>
      </w:pPr>
      <w:rPr>
        <w:rFonts w:ascii="Arial" w:eastAsia="Times New Roman" w:hAnsi="Arial"/>
        <w:color w:val="000000"/>
        <w:sz w:val="22"/>
      </w:rPr>
    </w:lvl>
    <w:lvl w:ilvl="3">
      <w:start w:val="1"/>
      <w:numFmt w:val="bullet"/>
      <w:lvlText w:val="■"/>
      <w:lvlJc w:val="left"/>
      <w:pPr>
        <w:ind w:left="2880" w:hanging="360"/>
      </w:pPr>
      <w:rPr>
        <w:rFonts w:ascii="Arial" w:eastAsia="Times New Roman" w:hAnsi="Arial"/>
        <w:color w:val="000000"/>
        <w:sz w:val="22"/>
      </w:rPr>
    </w:lvl>
    <w:lvl w:ilvl="4">
      <w:start w:val="1"/>
      <w:numFmt w:val="bullet"/>
      <w:lvlText w:val="■"/>
      <w:lvlJc w:val="left"/>
      <w:pPr>
        <w:ind w:left="3600" w:hanging="360"/>
      </w:pPr>
      <w:rPr>
        <w:rFonts w:ascii="Arial" w:eastAsia="Times New Roman" w:hAnsi="Arial"/>
        <w:color w:val="000000"/>
        <w:sz w:val="22"/>
      </w:rPr>
    </w:lvl>
    <w:lvl w:ilvl="5">
      <w:start w:val="1"/>
      <w:numFmt w:val="bullet"/>
      <w:lvlText w:val="■"/>
      <w:lvlJc w:val="left"/>
      <w:pPr>
        <w:ind w:left="4320" w:hanging="360"/>
      </w:pPr>
      <w:rPr>
        <w:rFonts w:ascii="Arial" w:eastAsia="Times New Roman" w:hAnsi="Arial"/>
        <w:color w:val="000000"/>
        <w:sz w:val="22"/>
      </w:rPr>
    </w:lvl>
    <w:lvl w:ilvl="6">
      <w:start w:val="1"/>
      <w:numFmt w:val="bullet"/>
      <w:lvlText w:val="■"/>
      <w:lvlJc w:val="left"/>
      <w:pPr>
        <w:ind w:left="5040" w:hanging="360"/>
      </w:pPr>
      <w:rPr>
        <w:rFonts w:ascii="Arial" w:eastAsia="Times New Roman" w:hAnsi="Arial"/>
        <w:color w:val="000000"/>
        <w:sz w:val="22"/>
      </w:rPr>
    </w:lvl>
    <w:lvl w:ilvl="7">
      <w:start w:val="1"/>
      <w:numFmt w:val="bullet"/>
      <w:lvlText w:val="■"/>
      <w:lvlJc w:val="left"/>
      <w:pPr>
        <w:ind w:left="5760" w:hanging="360"/>
      </w:pPr>
      <w:rPr>
        <w:rFonts w:ascii="Arial" w:eastAsia="Times New Roman" w:hAnsi="Arial"/>
        <w:color w:val="000000"/>
        <w:sz w:val="22"/>
      </w:rPr>
    </w:lvl>
    <w:lvl w:ilvl="8">
      <w:start w:val="1"/>
      <w:numFmt w:val="bullet"/>
      <w:lvlText w:val="■"/>
      <w:lvlJc w:val="left"/>
      <w:pPr>
        <w:ind w:left="6480" w:hanging="360"/>
      </w:pPr>
      <w:rPr>
        <w:rFonts w:ascii="Arial" w:eastAsia="Times New Roman" w:hAnsi="Arial"/>
        <w:color w:val="000000"/>
        <w:sz w:val="22"/>
      </w:rPr>
    </w:lvl>
  </w:abstractNum>
  <w:abstractNum w:abstractNumId="4" w15:restartNumberingAfterBreak="0">
    <w:nsid w:val="190A3B68"/>
    <w:multiLevelType w:val="hybridMultilevel"/>
    <w:tmpl w:val="84A05238"/>
    <w:lvl w:ilvl="0" w:tplc="B8422EEA">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1B26D2A4">
      <w:numFmt w:val="bullet"/>
      <w:lvlText w:val="•"/>
      <w:lvlJc w:val="left"/>
      <w:pPr>
        <w:ind w:left="1656" w:hanging="360"/>
      </w:pPr>
      <w:rPr>
        <w:rFonts w:hint="default"/>
        <w:lang w:val="en-US" w:eastAsia="en-US" w:bidi="ar-SA"/>
      </w:rPr>
    </w:lvl>
    <w:lvl w:ilvl="2" w:tplc="59A2324A">
      <w:numFmt w:val="bullet"/>
      <w:lvlText w:val="•"/>
      <w:lvlJc w:val="left"/>
      <w:pPr>
        <w:ind w:left="2592" w:hanging="360"/>
      </w:pPr>
      <w:rPr>
        <w:rFonts w:hint="default"/>
        <w:lang w:val="en-US" w:eastAsia="en-US" w:bidi="ar-SA"/>
      </w:rPr>
    </w:lvl>
    <w:lvl w:ilvl="3" w:tplc="C45C7692">
      <w:numFmt w:val="bullet"/>
      <w:lvlText w:val="•"/>
      <w:lvlJc w:val="left"/>
      <w:pPr>
        <w:ind w:left="3528" w:hanging="360"/>
      </w:pPr>
      <w:rPr>
        <w:rFonts w:hint="default"/>
        <w:lang w:val="en-US" w:eastAsia="en-US" w:bidi="ar-SA"/>
      </w:rPr>
    </w:lvl>
    <w:lvl w:ilvl="4" w:tplc="2C8689EA">
      <w:numFmt w:val="bullet"/>
      <w:lvlText w:val="•"/>
      <w:lvlJc w:val="left"/>
      <w:pPr>
        <w:ind w:left="4464" w:hanging="360"/>
      </w:pPr>
      <w:rPr>
        <w:rFonts w:hint="default"/>
        <w:lang w:val="en-US" w:eastAsia="en-US" w:bidi="ar-SA"/>
      </w:rPr>
    </w:lvl>
    <w:lvl w:ilvl="5" w:tplc="64161B98">
      <w:numFmt w:val="bullet"/>
      <w:lvlText w:val="•"/>
      <w:lvlJc w:val="left"/>
      <w:pPr>
        <w:ind w:left="5400" w:hanging="360"/>
      </w:pPr>
      <w:rPr>
        <w:rFonts w:hint="default"/>
        <w:lang w:val="en-US" w:eastAsia="en-US" w:bidi="ar-SA"/>
      </w:rPr>
    </w:lvl>
    <w:lvl w:ilvl="6" w:tplc="185AB388">
      <w:numFmt w:val="bullet"/>
      <w:lvlText w:val="•"/>
      <w:lvlJc w:val="left"/>
      <w:pPr>
        <w:ind w:left="6336" w:hanging="360"/>
      </w:pPr>
      <w:rPr>
        <w:rFonts w:hint="default"/>
        <w:lang w:val="en-US" w:eastAsia="en-US" w:bidi="ar-SA"/>
      </w:rPr>
    </w:lvl>
    <w:lvl w:ilvl="7" w:tplc="D55E28F0">
      <w:numFmt w:val="bullet"/>
      <w:lvlText w:val="•"/>
      <w:lvlJc w:val="left"/>
      <w:pPr>
        <w:ind w:left="7272" w:hanging="360"/>
      </w:pPr>
      <w:rPr>
        <w:rFonts w:hint="default"/>
        <w:lang w:val="en-US" w:eastAsia="en-US" w:bidi="ar-SA"/>
      </w:rPr>
    </w:lvl>
    <w:lvl w:ilvl="8" w:tplc="F0127EE0">
      <w:numFmt w:val="bullet"/>
      <w:lvlText w:val="•"/>
      <w:lvlJc w:val="left"/>
      <w:pPr>
        <w:ind w:left="8208" w:hanging="360"/>
      </w:pPr>
      <w:rPr>
        <w:rFonts w:hint="default"/>
        <w:lang w:val="en-US" w:eastAsia="en-US" w:bidi="ar-SA"/>
      </w:rPr>
    </w:lvl>
  </w:abstractNum>
  <w:abstractNum w:abstractNumId="5" w15:restartNumberingAfterBreak="0">
    <w:nsid w:val="1A491949"/>
    <w:multiLevelType w:val="multilevel"/>
    <w:tmpl w:val="FFFFFFFF"/>
    <w:lvl w:ilvl="0">
      <w:start w:val="1"/>
      <w:numFmt w:val="bullet"/>
      <w:lvlText w:val="●"/>
      <w:lvlJc w:val="left"/>
      <w:pPr>
        <w:ind w:left="720" w:hanging="360"/>
      </w:pPr>
      <w:rPr>
        <w:rFonts w:ascii="Arial" w:eastAsia="Times New Roman" w:hAnsi="Arial"/>
        <w:color w:val="000000"/>
        <w:sz w:val="22"/>
      </w:rPr>
    </w:lvl>
    <w:lvl w:ilvl="1">
      <w:start w:val="1"/>
      <w:numFmt w:val="bullet"/>
      <w:lvlText w:val="○"/>
      <w:lvlJc w:val="left"/>
      <w:pPr>
        <w:ind w:left="1695" w:hanging="360"/>
      </w:pPr>
      <w:rPr>
        <w:rFonts w:ascii="Arial" w:eastAsia="Times New Roman" w:hAnsi="Arial"/>
        <w:color w:val="000000"/>
        <w:sz w:val="22"/>
      </w:rPr>
    </w:lvl>
    <w:lvl w:ilvl="2">
      <w:start w:val="1"/>
      <w:numFmt w:val="bullet"/>
      <w:lvlText w:val="■"/>
      <w:lvlJc w:val="left"/>
      <w:pPr>
        <w:ind w:left="2415" w:hanging="360"/>
      </w:pPr>
      <w:rPr>
        <w:rFonts w:ascii="Arial" w:eastAsia="Times New Roman" w:hAnsi="Arial"/>
        <w:color w:val="000000"/>
        <w:sz w:val="22"/>
      </w:rPr>
    </w:lvl>
    <w:lvl w:ilvl="3">
      <w:start w:val="1"/>
      <w:numFmt w:val="bullet"/>
      <w:lvlText w:val="■"/>
      <w:lvlJc w:val="left"/>
      <w:pPr>
        <w:ind w:left="3135" w:hanging="360"/>
      </w:pPr>
      <w:rPr>
        <w:rFonts w:ascii="Arial" w:eastAsia="Times New Roman" w:hAnsi="Arial"/>
        <w:color w:val="000000"/>
        <w:sz w:val="22"/>
      </w:rPr>
    </w:lvl>
    <w:lvl w:ilvl="4">
      <w:start w:val="1"/>
      <w:numFmt w:val="bullet"/>
      <w:lvlText w:val="■"/>
      <w:lvlJc w:val="left"/>
      <w:pPr>
        <w:ind w:left="3855" w:hanging="360"/>
      </w:pPr>
      <w:rPr>
        <w:rFonts w:ascii="Arial" w:eastAsia="Times New Roman" w:hAnsi="Arial"/>
        <w:color w:val="000000"/>
        <w:sz w:val="22"/>
      </w:rPr>
    </w:lvl>
    <w:lvl w:ilvl="5">
      <w:start w:val="1"/>
      <w:numFmt w:val="bullet"/>
      <w:lvlText w:val="■"/>
      <w:lvlJc w:val="left"/>
      <w:pPr>
        <w:ind w:left="4575" w:hanging="360"/>
      </w:pPr>
      <w:rPr>
        <w:rFonts w:ascii="Arial" w:eastAsia="Times New Roman" w:hAnsi="Arial"/>
        <w:color w:val="000000"/>
        <w:sz w:val="22"/>
      </w:rPr>
    </w:lvl>
    <w:lvl w:ilvl="6">
      <w:start w:val="1"/>
      <w:numFmt w:val="bullet"/>
      <w:lvlText w:val="■"/>
      <w:lvlJc w:val="left"/>
      <w:pPr>
        <w:ind w:left="5295" w:hanging="360"/>
      </w:pPr>
      <w:rPr>
        <w:rFonts w:ascii="Arial" w:eastAsia="Times New Roman" w:hAnsi="Arial"/>
        <w:color w:val="000000"/>
        <w:sz w:val="22"/>
      </w:rPr>
    </w:lvl>
    <w:lvl w:ilvl="7">
      <w:start w:val="1"/>
      <w:numFmt w:val="bullet"/>
      <w:lvlText w:val="■"/>
      <w:lvlJc w:val="left"/>
      <w:pPr>
        <w:ind w:left="6015" w:hanging="360"/>
      </w:pPr>
      <w:rPr>
        <w:rFonts w:ascii="Arial" w:eastAsia="Times New Roman" w:hAnsi="Arial"/>
        <w:color w:val="000000"/>
        <w:sz w:val="22"/>
      </w:rPr>
    </w:lvl>
    <w:lvl w:ilvl="8">
      <w:start w:val="1"/>
      <w:numFmt w:val="bullet"/>
      <w:lvlText w:val="■"/>
      <w:lvlJc w:val="left"/>
      <w:pPr>
        <w:ind w:left="6735" w:hanging="360"/>
      </w:pPr>
      <w:rPr>
        <w:rFonts w:ascii="Arial" w:eastAsia="Times New Roman" w:hAnsi="Arial"/>
        <w:color w:val="000000"/>
        <w:sz w:val="22"/>
      </w:rPr>
    </w:lvl>
  </w:abstractNum>
  <w:abstractNum w:abstractNumId="6" w15:restartNumberingAfterBreak="0">
    <w:nsid w:val="1B5F32EF"/>
    <w:multiLevelType w:val="multilevel"/>
    <w:tmpl w:val="FFFFFFFF"/>
    <w:lvl w:ilvl="0">
      <w:start w:val="1"/>
      <w:numFmt w:val="decimal"/>
      <w:lvlText w:val="%1."/>
      <w:lvlJc w:val="left"/>
      <w:pPr>
        <w:ind w:left="720" w:hanging="360"/>
      </w:pPr>
      <w:rPr>
        <w:rFonts w:ascii="Arial" w:eastAsia="Times New Roman" w:hAnsi="Arial"/>
        <w:color w:val="000000"/>
        <w:sz w:val="22"/>
      </w:rPr>
    </w:lvl>
    <w:lvl w:ilvl="1">
      <w:start w:val="1"/>
      <w:numFmt w:val="bullet"/>
      <w:lvlText w:val="○"/>
      <w:lvlJc w:val="left"/>
      <w:pPr>
        <w:ind w:left="1680" w:hanging="360"/>
      </w:pPr>
      <w:rPr>
        <w:rFonts w:ascii="Arial" w:eastAsia="Times New Roman" w:hAnsi="Arial"/>
        <w:color w:val="000000"/>
        <w:sz w:val="22"/>
      </w:rPr>
    </w:lvl>
    <w:lvl w:ilvl="2">
      <w:start w:val="1"/>
      <w:numFmt w:val="bullet"/>
      <w:lvlText w:val="■"/>
      <w:lvlJc w:val="left"/>
      <w:pPr>
        <w:ind w:left="2400" w:hanging="360"/>
      </w:pPr>
      <w:rPr>
        <w:rFonts w:ascii="Arial" w:eastAsia="Times New Roman" w:hAnsi="Arial"/>
        <w:color w:val="000000"/>
        <w:sz w:val="22"/>
      </w:rPr>
    </w:lvl>
    <w:lvl w:ilvl="3">
      <w:start w:val="1"/>
      <w:numFmt w:val="bullet"/>
      <w:lvlText w:val="■"/>
      <w:lvlJc w:val="left"/>
      <w:pPr>
        <w:ind w:left="3120" w:hanging="360"/>
      </w:pPr>
      <w:rPr>
        <w:rFonts w:ascii="Arial" w:eastAsia="Times New Roman" w:hAnsi="Arial"/>
        <w:color w:val="000000"/>
        <w:sz w:val="22"/>
      </w:rPr>
    </w:lvl>
    <w:lvl w:ilvl="4">
      <w:start w:val="1"/>
      <w:numFmt w:val="bullet"/>
      <w:lvlText w:val="■"/>
      <w:lvlJc w:val="left"/>
      <w:pPr>
        <w:ind w:left="3840" w:hanging="360"/>
      </w:pPr>
      <w:rPr>
        <w:rFonts w:ascii="Arial" w:eastAsia="Times New Roman" w:hAnsi="Arial"/>
        <w:color w:val="000000"/>
        <w:sz w:val="22"/>
      </w:rPr>
    </w:lvl>
    <w:lvl w:ilvl="5">
      <w:start w:val="1"/>
      <w:numFmt w:val="bullet"/>
      <w:lvlText w:val="■"/>
      <w:lvlJc w:val="left"/>
      <w:pPr>
        <w:ind w:left="4560" w:hanging="360"/>
      </w:pPr>
      <w:rPr>
        <w:rFonts w:ascii="Arial" w:eastAsia="Times New Roman" w:hAnsi="Arial"/>
        <w:color w:val="000000"/>
        <w:sz w:val="22"/>
      </w:rPr>
    </w:lvl>
    <w:lvl w:ilvl="6">
      <w:start w:val="1"/>
      <w:numFmt w:val="bullet"/>
      <w:lvlText w:val="■"/>
      <w:lvlJc w:val="left"/>
      <w:pPr>
        <w:ind w:left="5280" w:hanging="360"/>
      </w:pPr>
      <w:rPr>
        <w:rFonts w:ascii="Arial" w:eastAsia="Times New Roman" w:hAnsi="Arial"/>
        <w:color w:val="000000"/>
        <w:sz w:val="22"/>
      </w:rPr>
    </w:lvl>
    <w:lvl w:ilvl="7">
      <w:start w:val="1"/>
      <w:numFmt w:val="bullet"/>
      <w:lvlText w:val="■"/>
      <w:lvlJc w:val="left"/>
      <w:pPr>
        <w:ind w:left="6000" w:hanging="360"/>
      </w:pPr>
      <w:rPr>
        <w:rFonts w:ascii="Arial" w:eastAsia="Times New Roman" w:hAnsi="Arial"/>
        <w:color w:val="000000"/>
        <w:sz w:val="22"/>
      </w:rPr>
    </w:lvl>
    <w:lvl w:ilvl="8">
      <w:start w:val="1"/>
      <w:numFmt w:val="bullet"/>
      <w:lvlText w:val="■"/>
      <w:lvlJc w:val="left"/>
      <w:pPr>
        <w:ind w:left="6720" w:hanging="360"/>
      </w:pPr>
      <w:rPr>
        <w:rFonts w:ascii="Arial" w:eastAsia="Times New Roman" w:hAnsi="Arial"/>
        <w:color w:val="000000"/>
        <w:sz w:val="22"/>
      </w:rPr>
    </w:lvl>
  </w:abstractNum>
  <w:abstractNum w:abstractNumId="7" w15:restartNumberingAfterBreak="0">
    <w:nsid w:val="1FD9770A"/>
    <w:multiLevelType w:val="hybridMultilevel"/>
    <w:tmpl w:val="3E4086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23565A"/>
    <w:multiLevelType w:val="hybridMultilevel"/>
    <w:tmpl w:val="1B52889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35E13926"/>
    <w:multiLevelType w:val="multilevel"/>
    <w:tmpl w:val="FFFFFFFF"/>
    <w:lvl w:ilvl="0">
      <w:start w:val="1"/>
      <w:numFmt w:val="decimal"/>
      <w:lvlText w:val="%1."/>
      <w:lvlJc w:val="left"/>
      <w:pPr>
        <w:ind w:left="720" w:hanging="360"/>
      </w:pPr>
      <w:rPr>
        <w:rFonts w:ascii="Arial" w:eastAsia="Times New Roman" w:hAnsi="Arial"/>
        <w:color w:val="000000"/>
        <w:sz w:val="22"/>
      </w:rPr>
    </w:lvl>
    <w:lvl w:ilvl="1">
      <w:start w:val="1"/>
      <w:numFmt w:val="bullet"/>
      <w:lvlText w:val="○"/>
      <w:lvlJc w:val="left"/>
      <w:pPr>
        <w:ind w:left="1680" w:hanging="360"/>
      </w:pPr>
      <w:rPr>
        <w:rFonts w:ascii="Arial" w:eastAsia="Times New Roman" w:hAnsi="Arial"/>
        <w:color w:val="000000"/>
        <w:sz w:val="22"/>
      </w:rPr>
    </w:lvl>
    <w:lvl w:ilvl="2">
      <w:start w:val="1"/>
      <w:numFmt w:val="bullet"/>
      <w:lvlText w:val="■"/>
      <w:lvlJc w:val="left"/>
      <w:pPr>
        <w:ind w:left="2400" w:hanging="360"/>
      </w:pPr>
      <w:rPr>
        <w:rFonts w:ascii="Arial" w:eastAsia="Times New Roman" w:hAnsi="Arial"/>
        <w:color w:val="000000"/>
        <w:sz w:val="22"/>
      </w:rPr>
    </w:lvl>
    <w:lvl w:ilvl="3">
      <w:start w:val="1"/>
      <w:numFmt w:val="bullet"/>
      <w:lvlText w:val="■"/>
      <w:lvlJc w:val="left"/>
      <w:pPr>
        <w:ind w:left="3120" w:hanging="360"/>
      </w:pPr>
      <w:rPr>
        <w:rFonts w:ascii="Arial" w:eastAsia="Times New Roman" w:hAnsi="Arial"/>
        <w:color w:val="000000"/>
        <w:sz w:val="22"/>
      </w:rPr>
    </w:lvl>
    <w:lvl w:ilvl="4">
      <w:start w:val="1"/>
      <w:numFmt w:val="bullet"/>
      <w:lvlText w:val="■"/>
      <w:lvlJc w:val="left"/>
      <w:pPr>
        <w:ind w:left="3840" w:hanging="360"/>
      </w:pPr>
      <w:rPr>
        <w:rFonts w:ascii="Arial" w:eastAsia="Times New Roman" w:hAnsi="Arial"/>
        <w:color w:val="000000"/>
        <w:sz w:val="22"/>
      </w:rPr>
    </w:lvl>
    <w:lvl w:ilvl="5">
      <w:start w:val="1"/>
      <w:numFmt w:val="bullet"/>
      <w:lvlText w:val="■"/>
      <w:lvlJc w:val="left"/>
      <w:pPr>
        <w:ind w:left="4560" w:hanging="360"/>
      </w:pPr>
      <w:rPr>
        <w:rFonts w:ascii="Arial" w:eastAsia="Times New Roman" w:hAnsi="Arial"/>
        <w:color w:val="000000"/>
        <w:sz w:val="22"/>
      </w:rPr>
    </w:lvl>
    <w:lvl w:ilvl="6">
      <w:start w:val="1"/>
      <w:numFmt w:val="bullet"/>
      <w:lvlText w:val="■"/>
      <w:lvlJc w:val="left"/>
      <w:pPr>
        <w:ind w:left="5280" w:hanging="360"/>
      </w:pPr>
      <w:rPr>
        <w:rFonts w:ascii="Arial" w:eastAsia="Times New Roman" w:hAnsi="Arial"/>
        <w:color w:val="000000"/>
        <w:sz w:val="22"/>
      </w:rPr>
    </w:lvl>
    <w:lvl w:ilvl="7">
      <w:start w:val="1"/>
      <w:numFmt w:val="bullet"/>
      <w:lvlText w:val="■"/>
      <w:lvlJc w:val="left"/>
      <w:pPr>
        <w:ind w:left="6000" w:hanging="360"/>
      </w:pPr>
      <w:rPr>
        <w:rFonts w:ascii="Arial" w:eastAsia="Times New Roman" w:hAnsi="Arial"/>
        <w:color w:val="000000"/>
        <w:sz w:val="22"/>
      </w:rPr>
    </w:lvl>
    <w:lvl w:ilvl="8">
      <w:start w:val="1"/>
      <w:numFmt w:val="bullet"/>
      <w:lvlText w:val="■"/>
      <w:lvlJc w:val="left"/>
      <w:pPr>
        <w:ind w:left="6720" w:hanging="360"/>
      </w:pPr>
      <w:rPr>
        <w:rFonts w:ascii="Arial" w:eastAsia="Times New Roman" w:hAnsi="Arial"/>
        <w:color w:val="000000"/>
        <w:sz w:val="22"/>
      </w:rPr>
    </w:lvl>
  </w:abstractNum>
  <w:abstractNum w:abstractNumId="10" w15:restartNumberingAfterBreak="0">
    <w:nsid w:val="402054C3"/>
    <w:multiLevelType w:val="multilevel"/>
    <w:tmpl w:val="FFFFFFFF"/>
    <w:lvl w:ilvl="0">
      <w:start w:val="1"/>
      <w:numFmt w:val="bullet"/>
      <w:lvlText w:val="●"/>
      <w:lvlJc w:val="left"/>
      <w:pPr>
        <w:ind w:left="465" w:hanging="360"/>
      </w:pPr>
      <w:rPr>
        <w:rFonts w:ascii="Arial" w:eastAsia="Times New Roman" w:hAnsi="Arial"/>
        <w:color w:val="000000"/>
        <w:sz w:val="22"/>
      </w:rPr>
    </w:lvl>
    <w:lvl w:ilvl="1">
      <w:start w:val="1"/>
      <w:numFmt w:val="bullet"/>
      <w:lvlText w:val="○"/>
      <w:lvlJc w:val="left"/>
      <w:pPr>
        <w:ind w:left="1440" w:hanging="360"/>
      </w:pPr>
      <w:rPr>
        <w:rFonts w:ascii="Arial" w:eastAsia="Times New Roman" w:hAnsi="Arial"/>
        <w:color w:val="000000"/>
        <w:sz w:val="22"/>
      </w:rPr>
    </w:lvl>
    <w:lvl w:ilvl="2">
      <w:start w:val="1"/>
      <w:numFmt w:val="bullet"/>
      <w:lvlText w:val="■"/>
      <w:lvlJc w:val="left"/>
      <w:pPr>
        <w:ind w:left="2160" w:hanging="360"/>
      </w:pPr>
      <w:rPr>
        <w:rFonts w:ascii="Arial" w:eastAsia="Times New Roman" w:hAnsi="Arial"/>
        <w:color w:val="000000"/>
        <w:sz w:val="22"/>
      </w:rPr>
    </w:lvl>
    <w:lvl w:ilvl="3">
      <w:start w:val="1"/>
      <w:numFmt w:val="bullet"/>
      <w:lvlText w:val="■"/>
      <w:lvlJc w:val="left"/>
      <w:pPr>
        <w:ind w:left="2880" w:hanging="360"/>
      </w:pPr>
      <w:rPr>
        <w:rFonts w:ascii="Arial" w:eastAsia="Times New Roman" w:hAnsi="Arial"/>
        <w:color w:val="000000"/>
        <w:sz w:val="22"/>
      </w:rPr>
    </w:lvl>
    <w:lvl w:ilvl="4">
      <w:start w:val="1"/>
      <w:numFmt w:val="bullet"/>
      <w:lvlText w:val="■"/>
      <w:lvlJc w:val="left"/>
      <w:pPr>
        <w:ind w:left="3600" w:hanging="360"/>
      </w:pPr>
      <w:rPr>
        <w:rFonts w:ascii="Arial" w:eastAsia="Times New Roman" w:hAnsi="Arial"/>
        <w:color w:val="000000"/>
        <w:sz w:val="22"/>
      </w:rPr>
    </w:lvl>
    <w:lvl w:ilvl="5">
      <w:start w:val="1"/>
      <w:numFmt w:val="bullet"/>
      <w:lvlText w:val="■"/>
      <w:lvlJc w:val="left"/>
      <w:pPr>
        <w:ind w:left="4320" w:hanging="360"/>
      </w:pPr>
      <w:rPr>
        <w:rFonts w:ascii="Arial" w:eastAsia="Times New Roman" w:hAnsi="Arial"/>
        <w:color w:val="000000"/>
        <w:sz w:val="22"/>
      </w:rPr>
    </w:lvl>
    <w:lvl w:ilvl="6">
      <w:start w:val="1"/>
      <w:numFmt w:val="bullet"/>
      <w:lvlText w:val="■"/>
      <w:lvlJc w:val="left"/>
      <w:pPr>
        <w:ind w:left="5040" w:hanging="360"/>
      </w:pPr>
      <w:rPr>
        <w:rFonts w:ascii="Arial" w:eastAsia="Times New Roman" w:hAnsi="Arial"/>
        <w:color w:val="000000"/>
        <w:sz w:val="22"/>
      </w:rPr>
    </w:lvl>
    <w:lvl w:ilvl="7">
      <w:start w:val="1"/>
      <w:numFmt w:val="bullet"/>
      <w:lvlText w:val="■"/>
      <w:lvlJc w:val="left"/>
      <w:pPr>
        <w:ind w:left="5760" w:hanging="360"/>
      </w:pPr>
      <w:rPr>
        <w:rFonts w:ascii="Arial" w:eastAsia="Times New Roman" w:hAnsi="Arial"/>
        <w:color w:val="000000"/>
        <w:sz w:val="22"/>
      </w:rPr>
    </w:lvl>
    <w:lvl w:ilvl="8">
      <w:start w:val="1"/>
      <w:numFmt w:val="bullet"/>
      <w:lvlText w:val="■"/>
      <w:lvlJc w:val="left"/>
      <w:pPr>
        <w:ind w:left="6480" w:hanging="360"/>
      </w:pPr>
      <w:rPr>
        <w:rFonts w:ascii="Arial" w:eastAsia="Times New Roman" w:hAnsi="Arial"/>
        <w:color w:val="000000"/>
        <w:sz w:val="22"/>
      </w:rPr>
    </w:lvl>
  </w:abstractNum>
  <w:abstractNum w:abstractNumId="11" w15:restartNumberingAfterBreak="0">
    <w:nsid w:val="50EF15FA"/>
    <w:multiLevelType w:val="multilevel"/>
    <w:tmpl w:val="FFFFFFFF"/>
    <w:lvl w:ilvl="0">
      <w:start w:val="1"/>
      <w:numFmt w:val="decimal"/>
      <w:lvlText w:val="%1."/>
      <w:lvlJc w:val="left"/>
      <w:pPr>
        <w:ind w:left="720" w:hanging="360"/>
      </w:pPr>
      <w:rPr>
        <w:rFonts w:ascii="Arial" w:eastAsia="Times New Roman" w:hAnsi="Arial"/>
        <w:color w:val="000000"/>
        <w:sz w:val="22"/>
      </w:rPr>
    </w:lvl>
    <w:lvl w:ilvl="1">
      <w:start w:val="1"/>
      <w:numFmt w:val="bullet"/>
      <w:lvlText w:val="○"/>
      <w:lvlJc w:val="left"/>
      <w:pPr>
        <w:ind w:left="1680" w:hanging="360"/>
      </w:pPr>
      <w:rPr>
        <w:rFonts w:ascii="Arial" w:eastAsia="Times New Roman" w:hAnsi="Arial"/>
        <w:color w:val="000000"/>
        <w:sz w:val="22"/>
      </w:rPr>
    </w:lvl>
    <w:lvl w:ilvl="2">
      <w:start w:val="1"/>
      <w:numFmt w:val="bullet"/>
      <w:lvlText w:val="■"/>
      <w:lvlJc w:val="left"/>
      <w:pPr>
        <w:ind w:left="2400" w:hanging="360"/>
      </w:pPr>
      <w:rPr>
        <w:rFonts w:ascii="Arial" w:eastAsia="Times New Roman" w:hAnsi="Arial"/>
        <w:color w:val="000000"/>
        <w:sz w:val="22"/>
      </w:rPr>
    </w:lvl>
    <w:lvl w:ilvl="3">
      <w:start w:val="1"/>
      <w:numFmt w:val="bullet"/>
      <w:lvlText w:val="■"/>
      <w:lvlJc w:val="left"/>
      <w:pPr>
        <w:ind w:left="3120" w:hanging="360"/>
      </w:pPr>
      <w:rPr>
        <w:rFonts w:ascii="Arial" w:eastAsia="Times New Roman" w:hAnsi="Arial"/>
        <w:color w:val="000000"/>
        <w:sz w:val="22"/>
      </w:rPr>
    </w:lvl>
    <w:lvl w:ilvl="4">
      <w:start w:val="1"/>
      <w:numFmt w:val="bullet"/>
      <w:lvlText w:val="■"/>
      <w:lvlJc w:val="left"/>
      <w:pPr>
        <w:ind w:left="3840" w:hanging="360"/>
      </w:pPr>
      <w:rPr>
        <w:rFonts w:ascii="Arial" w:eastAsia="Times New Roman" w:hAnsi="Arial"/>
        <w:color w:val="000000"/>
        <w:sz w:val="22"/>
      </w:rPr>
    </w:lvl>
    <w:lvl w:ilvl="5">
      <w:start w:val="1"/>
      <w:numFmt w:val="bullet"/>
      <w:lvlText w:val="■"/>
      <w:lvlJc w:val="left"/>
      <w:pPr>
        <w:ind w:left="4560" w:hanging="360"/>
      </w:pPr>
      <w:rPr>
        <w:rFonts w:ascii="Arial" w:eastAsia="Times New Roman" w:hAnsi="Arial"/>
        <w:color w:val="000000"/>
        <w:sz w:val="22"/>
      </w:rPr>
    </w:lvl>
    <w:lvl w:ilvl="6">
      <w:start w:val="1"/>
      <w:numFmt w:val="bullet"/>
      <w:lvlText w:val="■"/>
      <w:lvlJc w:val="left"/>
      <w:pPr>
        <w:ind w:left="5280" w:hanging="360"/>
      </w:pPr>
      <w:rPr>
        <w:rFonts w:ascii="Arial" w:eastAsia="Times New Roman" w:hAnsi="Arial"/>
        <w:color w:val="000000"/>
        <w:sz w:val="22"/>
      </w:rPr>
    </w:lvl>
    <w:lvl w:ilvl="7">
      <w:start w:val="1"/>
      <w:numFmt w:val="bullet"/>
      <w:lvlText w:val="■"/>
      <w:lvlJc w:val="left"/>
      <w:pPr>
        <w:ind w:left="6000" w:hanging="360"/>
      </w:pPr>
      <w:rPr>
        <w:rFonts w:ascii="Arial" w:eastAsia="Times New Roman" w:hAnsi="Arial"/>
        <w:color w:val="000000"/>
        <w:sz w:val="22"/>
      </w:rPr>
    </w:lvl>
    <w:lvl w:ilvl="8">
      <w:start w:val="1"/>
      <w:numFmt w:val="bullet"/>
      <w:lvlText w:val="■"/>
      <w:lvlJc w:val="left"/>
      <w:pPr>
        <w:ind w:left="6720" w:hanging="360"/>
      </w:pPr>
      <w:rPr>
        <w:rFonts w:ascii="Arial" w:eastAsia="Times New Roman" w:hAnsi="Arial"/>
        <w:color w:val="000000"/>
        <w:sz w:val="22"/>
      </w:rPr>
    </w:lvl>
  </w:abstractNum>
  <w:abstractNum w:abstractNumId="12" w15:restartNumberingAfterBreak="0">
    <w:nsid w:val="6139067D"/>
    <w:multiLevelType w:val="hybridMultilevel"/>
    <w:tmpl w:val="1D165FDE"/>
    <w:lvl w:ilvl="0" w:tplc="30860CE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0E96C6">
      <w:numFmt w:val="bullet"/>
      <w:lvlText w:val="•"/>
      <w:lvlJc w:val="left"/>
      <w:pPr>
        <w:ind w:left="1656" w:hanging="360"/>
      </w:pPr>
      <w:rPr>
        <w:rFonts w:hint="default"/>
        <w:lang w:val="en-US" w:eastAsia="en-US" w:bidi="ar-SA"/>
      </w:rPr>
    </w:lvl>
    <w:lvl w:ilvl="2" w:tplc="96748D18">
      <w:numFmt w:val="bullet"/>
      <w:lvlText w:val="•"/>
      <w:lvlJc w:val="left"/>
      <w:pPr>
        <w:ind w:left="2592" w:hanging="360"/>
      </w:pPr>
      <w:rPr>
        <w:rFonts w:hint="default"/>
        <w:lang w:val="en-US" w:eastAsia="en-US" w:bidi="ar-SA"/>
      </w:rPr>
    </w:lvl>
    <w:lvl w:ilvl="3" w:tplc="3A2289D2">
      <w:numFmt w:val="bullet"/>
      <w:lvlText w:val="•"/>
      <w:lvlJc w:val="left"/>
      <w:pPr>
        <w:ind w:left="3528" w:hanging="360"/>
      </w:pPr>
      <w:rPr>
        <w:rFonts w:hint="default"/>
        <w:lang w:val="en-US" w:eastAsia="en-US" w:bidi="ar-SA"/>
      </w:rPr>
    </w:lvl>
    <w:lvl w:ilvl="4" w:tplc="C1D21E1C">
      <w:numFmt w:val="bullet"/>
      <w:lvlText w:val="•"/>
      <w:lvlJc w:val="left"/>
      <w:pPr>
        <w:ind w:left="4464" w:hanging="360"/>
      </w:pPr>
      <w:rPr>
        <w:rFonts w:hint="default"/>
        <w:lang w:val="en-US" w:eastAsia="en-US" w:bidi="ar-SA"/>
      </w:rPr>
    </w:lvl>
    <w:lvl w:ilvl="5" w:tplc="99D638DE">
      <w:numFmt w:val="bullet"/>
      <w:lvlText w:val="•"/>
      <w:lvlJc w:val="left"/>
      <w:pPr>
        <w:ind w:left="5400" w:hanging="360"/>
      </w:pPr>
      <w:rPr>
        <w:rFonts w:hint="default"/>
        <w:lang w:val="en-US" w:eastAsia="en-US" w:bidi="ar-SA"/>
      </w:rPr>
    </w:lvl>
    <w:lvl w:ilvl="6" w:tplc="1CDC72B6">
      <w:numFmt w:val="bullet"/>
      <w:lvlText w:val="•"/>
      <w:lvlJc w:val="left"/>
      <w:pPr>
        <w:ind w:left="6336" w:hanging="360"/>
      </w:pPr>
      <w:rPr>
        <w:rFonts w:hint="default"/>
        <w:lang w:val="en-US" w:eastAsia="en-US" w:bidi="ar-SA"/>
      </w:rPr>
    </w:lvl>
    <w:lvl w:ilvl="7" w:tplc="4754DD46">
      <w:numFmt w:val="bullet"/>
      <w:lvlText w:val="•"/>
      <w:lvlJc w:val="left"/>
      <w:pPr>
        <w:ind w:left="7272" w:hanging="360"/>
      </w:pPr>
      <w:rPr>
        <w:rFonts w:hint="default"/>
        <w:lang w:val="en-US" w:eastAsia="en-US" w:bidi="ar-SA"/>
      </w:rPr>
    </w:lvl>
    <w:lvl w:ilvl="8" w:tplc="7CF42906">
      <w:numFmt w:val="bullet"/>
      <w:lvlText w:val="•"/>
      <w:lvlJc w:val="left"/>
      <w:pPr>
        <w:ind w:left="8208" w:hanging="360"/>
      </w:pPr>
      <w:rPr>
        <w:rFonts w:hint="default"/>
        <w:lang w:val="en-US" w:eastAsia="en-US" w:bidi="ar-SA"/>
      </w:rPr>
    </w:lvl>
  </w:abstractNum>
  <w:abstractNum w:abstractNumId="13" w15:restartNumberingAfterBreak="0">
    <w:nsid w:val="700A110F"/>
    <w:multiLevelType w:val="multilevel"/>
    <w:tmpl w:val="FFFFFFFF"/>
    <w:lvl w:ilvl="0">
      <w:start w:val="1"/>
      <w:numFmt w:val="bullet"/>
      <w:lvlText w:val="●"/>
      <w:lvlJc w:val="left"/>
      <w:pPr>
        <w:ind w:left="720" w:hanging="360"/>
      </w:pPr>
      <w:rPr>
        <w:rFonts w:ascii="Arial" w:eastAsia="Times New Roman" w:hAnsi="Arial"/>
        <w:color w:val="000000"/>
        <w:sz w:val="22"/>
      </w:rPr>
    </w:lvl>
    <w:lvl w:ilvl="1">
      <w:start w:val="1"/>
      <w:numFmt w:val="bullet"/>
      <w:lvlText w:val="○"/>
      <w:lvlJc w:val="left"/>
      <w:pPr>
        <w:ind w:left="1695" w:hanging="360"/>
      </w:pPr>
      <w:rPr>
        <w:rFonts w:ascii="Arial" w:eastAsia="Times New Roman" w:hAnsi="Arial"/>
        <w:color w:val="000000"/>
        <w:sz w:val="22"/>
      </w:rPr>
    </w:lvl>
    <w:lvl w:ilvl="2">
      <w:start w:val="1"/>
      <w:numFmt w:val="bullet"/>
      <w:lvlText w:val="■"/>
      <w:lvlJc w:val="left"/>
      <w:pPr>
        <w:ind w:left="2415" w:hanging="360"/>
      </w:pPr>
      <w:rPr>
        <w:rFonts w:ascii="Arial" w:eastAsia="Times New Roman" w:hAnsi="Arial"/>
        <w:color w:val="000000"/>
        <w:sz w:val="22"/>
      </w:rPr>
    </w:lvl>
    <w:lvl w:ilvl="3">
      <w:start w:val="1"/>
      <w:numFmt w:val="bullet"/>
      <w:lvlText w:val="■"/>
      <w:lvlJc w:val="left"/>
      <w:pPr>
        <w:ind w:left="3135" w:hanging="360"/>
      </w:pPr>
      <w:rPr>
        <w:rFonts w:ascii="Arial" w:eastAsia="Times New Roman" w:hAnsi="Arial"/>
        <w:color w:val="000000"/>
        <w:sz w:val="22"/>
      </w:rPr>
    </w:lvl>
    <w:lvl w:ilvl="4">
      <w:start w:val="1"/>
      <w:numFmt w:val="bullet"/>
      <w:lvlText w:val="■"/>
      <w:lvlJc w:val="left"/>
      <w:pPr>
        <w:ind w:left="3855" w:hanging="360"/>
      </w:pPr>
      <w:rPr>
        <w:rFonts w:ascii="Arial" w:eastAsia="Times New Roman" w:hAnsi="Arial"/>
        <w:color w:val="000000"/>
        <w:sz w:val="22"/>
      </w:rPr>
    </w:lvl>
    <w:lvl w:ilvl="5">
      <w:start w:val="1"/>
      <w:numFmt w:val="bullet"/>
      <w:lvlText w:val="■"/>
      <w:lvlJc w:val="left"/>
      <w:pPr>
        <w:ind w:left="4575" w:hanging="360"/>
      </w:pPr>
      <w:rPr>
        <w:rFonts w:ascii="Arial" w:eastAsia="Times New Roman" w:hAnsi="Arial"/>
        <w:color w:val="000000"/>
        <w:sz w:val="22"/>
      </w:rPr>
    </w:lvl>
    <w:lvl w:ilvl="6">
      <w:start w:val="1"/>
      <w:numFmt w:val="bullet"/>
      <w:lvlText w:val="■"/>
      <w:lvlJc w:val="left"/>
      <w:pPr>
        <w:ind w:left="5295" w:hanging="360"/>
      </w:pPr>
      <w:rPr>
        <w:rFonts w:ascii="Arial" w:eastAsia="Times New Roman" w:hAnsi="Arial"/>
        <w:color w:val="000000"/>
        <w:sz w:val="22"/>
      </w:rPr>
    </w:lvl>
    <w:lvl w:ilvl="7">
      <w:start w:val="1"/>
      <w:numFmt w:val="bullet"/>
      <w:lvlText w:val="■"/>
      <w:lvlJc w:val="left"/>
      <w:pPr>
        <w:ind w:left="6015" w:hanging="360"/>
      </w:pPr>
      <w:rPr>
        <w:rFonts w:ascii="Arial" w:eastAsia="Times New Roman" w:hAnsi="Arial"/>
        <w:color w:val="000000"/>
        <w:sz w:val="22"/>
      </w:rPr>
    </w:lvl>
    <w:lvl w:ilvl="8">
      <w:start w:val="1"/>
      <w:numFmt w:val="bullet"/>
      <w:lvlText w:val="■"/>
      <w:lvlJc w:val="left"/>
      <w:pPr>
        <w:ind w:left="6735" w:hanging="360"/>
      </w:pPr>
      <w:rPr>
        <w:rFonts w:ascii="Arial" w:eastAsia="Times New Roman" w:hAnsi="Arial"/>
        <w:color w:val="000000"/>
        <w:sz w:val="22"/>
      </w:rPr>
    </w:lvl>
  </w:abstractNum>
  <w:abstractNum w:abstractNumId="14" w15:restartNumberingAfterBreak="0">
    <w:nsid w:val="75E65AB7"/>
    <w:multiLevelType w:val="multilevel"/>
    <w:tmpl w:val="FFFFFFFF"/>
    <w:lvl w:ilvl="0">
      <w:start w:val="1"/>
      <w:numFmt w:val="decimal"/>
      <w:lvlText w:val="%1."/>
      <w:lvlJc w:val="left"/>
      <w:pPr>
        <w:ind w:left="480" w:hanging="360"/>
      </w:pPr>
      <w:rPr>
        <w:rFonts w:ascii="Arial" w:eastAsia="Times New Roman" w:hAnsi="Arial"/>
        <w:color w:val="000000"/>
        <w:sz w:val="22"/>
      </w:rPr>
    </w:lvl>
    <w:lvl w:ilvl="1">
      <w:start w:val="1"/>
      <w:numFmt w:val="bullet"/>
      <w:lvlText w:val="○"/>
      <w:lvlJc w:val="left"/>
      <w:pPr>
        <w:ind w:left="1440" w:hanging="360"/>
      </w:pPr>
      <w:rPr>
        <w:rFonts w:ascii="Arial" w:eastAsia="Times New Roman" w:hAnsi="Arial"/>
        <w:color w:val="000000"/>
        <w:sz w:val="22"/>
      </w:rPr>
    </w:lvl>
    <w:lvl w:ilvl="2">
      <w:start w:val="1"/>
      <w:numFmt w:val="bullet"/>
      <w:lvlText w:val="■"/>
      <w:lvlJc w:val="left"/>
      <w:pPr>
        <w:ind w:left="2160" w:hanging="360"/>
      </w:pPr>
      <w:rPr>
        <w:rFonts w:ascii="Arial" w:eastAsia="Times New Roman" w:hAnsi="Arial"/>
        <w:color w:val="000000"/>
        <w:sz w:val="22"/>
      </w:rPr>
    </w:lvl>
    <w:lvl w:ilvl="3">
      <w:start w:val="1"/>
      <w:numFmt w:val="bullet"/>
      <w:lvlText w:val="■"/>
      <w:lvlJc w:val="left"/>
      <w:pPr>
        <w:ind w:left="2880" w:hanging="360"/>
      </w:pPr>
      <w:rPr>
        <w:rFonts w:ascii="Arial" w:eastAsia="Times New Roman" w:hAnsi="Arial"/>
        <w:color w:val="000000"/>
        <w:sz w:val="22"/>
      </w:rPr>
    </w:lvl>
    <w:lvl w:ilvl="4">
      <w:start w:val="1"/>
      <w:numFmt w:val="bullet"/>
      <w:lvlText w:val="■"/>
      <w:lvlJc w:val="left"/>
      <w:pPr>
        <w:ind w:left="3600" w:hanging="360"/>
      </w:pPr>
      <w:rPr>
        <w:rFonts w:ascii="Arial" w:eastAsia="Times New Roman" w:hAnsi="Arial"/>
        <w:color w:val="000000"/>
        <w:sz w:val="22"/>
      </w:rPr>
    </w:lvl>
    <w:lvl w:ilvl="5">
      <w:start w:val="1"/>
      <w:numFmt w:val="bullet"/>
      <w:lvlText w:val="■"/>
      <w:lvlJc w:val="left"/>
      <w:pPr>
        <w:ind w:left="4320" w:hanging="360"/>
      </w:pPr>
      <w:rPr>
        <w:rFonts w:ascii="Arial" w:eastAsia="Times New Roman" w:hAnsi="Arial"/>
        <w:color w:val="000000"/>
        <w:sz w:val="22"/>
      </w:rPr>
    </w:lvl>
    <w:lvl w:ilvl="6">
      <w:start w:val="1"/>
      <w:numFmt w:val="bullet"/>
      <w:lvlText w:val="■"/>
      <w:lvlJc w:val="left"/>
      <w:pPr>
        <w:ind w:left="5040" w:hanging="360"/>
      </w:pPr>
      <w:rPr>
        <w:rFonts w:ascii="Arial" w:eastAsia="Times New Roman" w:hAnsi="Arial"/>
        <w:color w:val="000000"/>
        <w:sz w:val="22"/>
      </w:rPr>
    </w:lvl>
    <w:lvl w:ilvl="7">
      <w:start w:val="1"/>
      <w:numFmt w:val="bullet"/>
      <w:lvlText w:val="■"/>
      <w:lvlJc w:val="left"/>
      <w:pPr>
        <w:ind w:left="5760" w:hanging="360"/>
      </w:pPr>
      <w:rPr>
        <w:rFonts w:ascii="Arial" w:eastAsia="Times New Roman" w:hAnsi="Arial"/>
        <w:color w:val="000000"/>
        <w:sz w:val="22"/>
      </w:rPr>
    </w:lvl>
    <w:lvl w:ilvl="8">
      <w:start w:val="1"/>
      <w:numFmt w:val="bullet"/>
      <w:lvlText w:val="■"/>
      <w:lvlJc w:val="left"/>
      <w:pPr>
        <w:ind w:left="6480" w:hanging="360"/>
      </w:pPr>
      <w:rPr>
        <w:rFonts w:ascii="Arial" w:eastAsia="Times New Roman" w:hAnsi="Arial"/>
        <w:color w:val="000000"/>
        <w:sz w:val="22"/>
      </w:rPr>
    </w:lvl>
  </w:abstractNum>
  <w:abstractNum w:abstractNumId="15" w15:restartNumberingAfterBreak="0">
    <w:nsid w:val="77245FF6"/>
    <w:multiLevelType w:val="multilevel"/>
    <w:tmpl w:val="FFFFFFFF"/>
    <w:lvl w:ilvl="0">
      <w:start w:val="1"/>
      <w:numFmt w:val="decimal"/>
      <w:lvlText w:val="%1."/>
      <w:lvlJc w:val="left"/>
      <w:pPr>
        <w:ind w:left="720" w:hanging="360"/>
      </w:pPr>
      <w:rPr>
        <w:rFonts w:ascii="Arial" w:eastAsia="Times New Roman" w:hAnsi="Arial"/>
        <w:color w:val="000000"/>
        <w:sz w:val="22"/>
      </w:rPr>
    </w:lvl>
    <w:lvl w:ilvl="1">
      <w:start w:val="1"/>
      <w:numFmt w:val="bullet"/>
      <w:lvlText w:val="○"/>
      <w:lvlJc w:val="left"/>
      <w:pPr>
        <w:ind w:left="1680" w:hanging="360"/>
      </w:pPr>
      <w:rPr>
        <w:rFonts w:ascii="Arial" w:eastAsia="Times New Roman" w:hAnsi="Arial"/>
        <w:color w:val="000000"/>
        <w:sz w:val="22"/>
      </w:rPr>
    </w:lvl>
    <w:lvl w:ilvl="2">
      <w:start w:val="1"/>
      <w:numFmt w:val="bullet"/>
      <w:lvlText w:val="■"/>
      <w:lvlJc w:val="left"/>
      <w:pPr>
        <w:ind w:left="2400" w:hanging="360"/>
      </w:pPr>
      <w:rPr>
        <w:rFonts w:ascii="Arial" w:eastAsia="Times New Roman" w:hAnsi="Arial"/>
        <w:color w:val="000000"/>
        <w:sz w:val="22"/>
      </w:rPr>
    </w:lvl>
    <w:lvl w:ilvl="3">
      <w:start w:val="1"/>
      <w:numFmt w:val="bullet"/>
      <w:lvlText w:val="■"/>
      <w:lvlJc w:val="left"/>
      <w:pPr>
        <w:ind w:left="3120" w:hanging="360"/>
      </w:pPr>
      <w:rPr>
        <w:rFonts w:ascii="Arial" w:eastAsia="Times New Roman" w:hAnsi="Arial"/>
        <w:color w:val="000000"/>
        <w:sz w:val="22"/>
      </w:rPr>
    </w:lvl>
    <w:lvl w:ilvl="4">
      <w:start w:val="1"/>
      <w:numFmt w:val="bullet"/>
      <w:lvlText w:val="■"/>
      <w:lvlJc w:val="left"/>
      <w:pPr>
        <w:ind w:left="3840" w:hanging="360"/>
      </w:pPr>
      <w:rPr>
        <w:rFonts w:ascii="Arial" w:eastAsia="Times New Roman" w:hAnsi="Arial"/>
        <w:color w:val="000000"/>
        <w:sz w:val="22"/>
      </w:rPr>
    </w:lvl>
    <w:lvl w:ilvl="5">
      <w:start w:val="1"/>
      <w:numFmt w:val="bullet"/>
      <w:lvlText w:val="■"/>
      <w:lvlJc w:val="left"/>
      <w:pPr>
        <w:ind w:left="4560" w:hanging="360"/>
      </w:pPr>
      <w:rPr>
        <w:rFonts w:ascii="Arial" w:eastAsia="Times New Roman" w:hAnsi="Arial"/>
        <w:color w:val="000000"/>
        <w:sz w:val="22"/>
      </w:rPr>
    </w:lvl>
    <w:lvl w:ilvl="6">
      <w:start w:val="1"/>
      <w:numFmt w:val="bullet"/>
      <w:lvlText w:val="■"/>
      <w:lvlJc w:val="left"/>
      <w:pPr>
        <w:ind w:left="5280" w:hanging="360"/>
      </w:pPr>
      <w:rPr>
        <w:rFonts w:ascii="Arial" w:eastAsia="Times New Roman" w:hAnsi="Arial"/>
        <w:color w:val="000000"/>
        <w:sz w:val="22"/>
      </w:rPr>
    </w:lvl>
    <w:lvl w:ilvl="7">
      <w:start w:val="1"/>
      <w:numFmt w:val="bullet"/>
      <w:lvlText w:val="■"/>
      <w:lvlJc w:val="left"/>
      <w:pPr>
        <w:ind w:left="6000" w:hanging="360"/>
      </w:pPr>
      <w:rPr>
        <w:rFonts w:ascii="Arial" w:eastAsia="Times New Roman" w:hAnsi="Arial"/>
        <w:color w:val="000000"/>
        <w:sz w:val="22"/>
      </w:rPr>
    </w:lvl>
    <w:lvl w:ilvl="8">
      <w:start w:val="1"/>
      <w:numFmt w:val="bullet"/>
      <w:lvlText w:val="■"/>
      <w:lvlJc w:val="left"/>
      <w:pPr>
        <w:ind w:left="6720" w:hanging="360"/>
      </w:pPr>
      <w:rPr>
        <w:rFonts w:ascii="Arial" w:eastAsia="Times New Roman" w:hAnsi="Arial"/>
        <w:color w:val="000000"/>
        <w:sz w:val="22"/>
      </w:rPr>
    </w:lvl>
  </w:abstractNum>
  <w:abstractNum w:abstractNumId="16" w15:restartNumberingAfterBreak="0">
    <w:nsid w:val="7A8A522A"/>
    <w:multiLevelType w:val="multilevel"/>
    <w:tmpl w:val="FFFFFFFF"/>
    <w:lvl w:ilvl="0">
      <w:start w:val="1"/>
      <w:numFmt w:val="bullet"/>
      <w:lvlText w:val="●"/>
      <w:lvlJc w:val="left"/>
      <w:pPr>
        <w:ind w:left="720" w:hanging="360"/>
      </w:pPr>
      <w:rPr>
        <w:rFonts w:ascii="Arial" w:eastAsia="Times New Roman" w:hAnsi="Arial"/>
        <w:color w:val="000000"/>
        <w:sz w:val="22"/>
      </w:rPr>
    </w:lvl>
    <w:lvl w:ilvl="1">
      <w:start w:val="1"/>
      <w:numFmt w:val="bullet"/>
      <w:lvlText w:val="○"/>
      <w:lvlJc w:val="left"/>
      <w:pPr>
        <w:ind w:left="1695" w:hanging="360"/>
      </w:pPr>
      <w:rPr>
        <w:rFonts w:ascii="Arial" w:eastAsia="Times New Roman" w:hAnsi="Arial"/>
        <w:color w:val="000000"/>
        <w:sz w:val="22"/>
      </w:rPr>
    </w:lvl>
    <w:lvl w:ilvl="2">
      <w:start w:val="1"/>
      <w:numFmt w:val="bullet"/>
      <w:lvlText w:val="■"/>
      <w:lvlJc w:val="left"/>
      <w:pPr>
        <w:ind w:left="2415" w:hanging="360"/>
      </w:pPr>
      <w:rPr>
        <w:rFonts w:ascii="Arial" w:eastAsia="Times New Roman" w:hAnsi="Arial"/>
        <w:color w:val="000000"/>
        <w:sz w:val="22"/>
      </w:rPr>
    </w:lvl>
    <w:lvl w:ilvl="3">
      <w:start w:val="1"/>
      <w:numFmt w:val="bullet"/>
      <w:lvlText w:val="■"/>
      <w:lvlJc w:val="left"/>
      <w:pPr>
        <w:ind w:left="3135" w:hanging="360"/>
      </w:pPr>
      <w:rPr>
        <w:rFonts w:ascii="Arial" w:eastAsia="Times New Roman" w:hAnsi="Arial"/>
        <w:color w:val="000000"/>
        <w:sz w:val="22"/>
      </w:rPr>
    </w:lvl>
    <w:lvl w:ilvl="4">
      <w:start w:val="1"/>
      <w:numFmt w:val="bullet"/>
      <w:lvlText w:val="■"/>
      <w:lvlJc w:val="left"/>
      <w:pPr>
        <w:ind w:left="3855" w:hanging="360"/>
      </w:pPr>
      <w:rPr>
        <w:rFonts w:ascii="Arial" w:eastAsia="Times New Roman" w:hAnsi="Arial"/>
        <w:color w:val="000000"/>
        <w:sz w:val="22"/>
      </w:rPr>
    </w:lvl>
    <w:lvl w:ilvl="5">
      <w:start w:val="1"/>
      <w:numFmt w:val="bullet"/>
      <w:lvlText w:val="■"/>
      <w:lvlJc w:val="left"/>
      <w:pPr>
        <w:ind w:left="4575" w:hanging="360"/>
      </w:pPr>
      <w:rPr>
        <w:rFonts w:ascii="Arial" w:eastAsia="Times New Roman" w:hAnsi="Arial"/>
        <w:color w:val="000000"/>
        <w:sz w:val="22"/>
      </w:rPr>
    </w:lvl>
    <w:lvl w:ilvl="6">
      <w:start w:val="1"/>
      <w:numFmt w:val="bullet"/>
      <w:lvlText w:val="■"/>
      <w:lvlJc w:val="left"/>
      <w:pPr>
        <w:ind w:left="5295" w:hanging="360"/>
      </w:pPr>
      <w:rPr>
        <w:rFonts w:ascii="Arial" w:eastAsia="Times New Roman" w:hAnsi="Arial"/>
        <w:color w:val="000000"/>
        <w:sz w:val="22"/>
      </w:rPr>
    </w:lvl>
    <w:lvl w:ilvl="7">
      <w:start w:val="1"/>
      <w:numFmt w:val="bullet"/>
      <w:lvlText w:val="■"/>
      <w:lvlJc w:val="left"/>
      <w:pPr>
        <w:ind w:left="6015" w:hanging="360"/>
      </w:pPr>
      <w:rPr>
        <w:rFonts w:ascii="Arial" w:eastAsia="Times New Roman" w:hAnsi="Arial"/>
        <w:color w:val="000000"/>
        <w:sz w:val="22"/>
      </w:rPr>
    </w:lvl>
    <w:lvl w:ilvl="8">
      <w:start w:val="1"/>
      <w:numFmt w:val="bullet"/>
      <w:lvlText w:val="■"/>
      <w:lvlJc w:val="left"/>
      <w:pPr>
        <w:ind w:left="6735" w:hanging="360"/>
      </w:pPr>
      <w:rPr>
        <w:rFonts w:ascii="Arial" w:eastAsia="Times New Roman" w:hAnsi="Arial"/>
        <w:color w:val="000000"/>
        <w:sz w:val="22"/>
      </w:rPr>
    </w:lvl>
  </w:abstractNum>
  <w:abstractNum w:abstractNumId="17" w15:restartNumberingAfterBreak="0">
    <w:nsid w:val="7B46092B"/>
    <w:multiLevelType w:val="hybridMultilevel"/>
    <w:tmpl w:val="BEBCDE1A"/>
    <w:lvl w:ilvl="0" w:tplc="3E3E33A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F4EA16">
      <w:numFmt w:val="bullet"/>
      <w:lvlText w:val="•"/>
      <w:lvlJc w:val="left"/>
      <w:pPr>
        <w:ind w:left="1656" w:hanging="360"/>
      </w:pPr>
      <w:rPr>
        <w:rFonts w:hint="default"/>
        <w:lang w:val="en-US" w:eastAsia="en-US" w:bidi="ar-SA"/>
      </w:rPr>
    </w:lvl>
    <w:lvl w:ilvl="2" w:tplc="058038C6">
      <w:numFmt w:val="bullet"/>
      <w:lvlText w:val="•"/>
      <w:lvlJc w:val="left"/>
      <w:pPr>
        <w:ind w:left="2592" w:hanging="360"/>
      </w:pPr>
      <w:rPr>
        <w:rFonts w:hint="default"/>
        <w:lang w:val="en-US" w:eastAsia="en-US" w:bidi="ar-SA"/>
      </w:rPr>
    </w:lvl>
    <w:lvl w:ilvl="3" w:tplc="75EA15B8">
      <w:numFmt w:val="bullet"/>
      <w:lvlText w:val="•"/>
      <w:lvlJc w:val="left"/>
      <w:pPr>
        <w:ind w:left="3528" w:hanging="360"/>
      </w:pPr>
      <w:rPr>
        <w:rFonts w:hint="default"/>
        <w:lang w:val="en-US" w:eastAsia="en-US" w:bidi="ar-SA"/>
      </w:rPr>
    </w:lvl>
    <w:lvl w:ilvl="4" w:tplc="83165CF8">
      <w:numFmt w:val="bullet"/>
      <w:lvlText w:val="•"/>
      <w:lvlJc w:val="left"/>
      <w:pPr>
        <w:ind w:left="4464" w:hanging="360"/>
      </w:pPr>
      <w:rPr>
        <w:rFonts w:hint="default"/>
        <w:lang w:val="en-US" w:eastAsia="en-US" w:bidi="ar-SA"/>
      </w:rPr>
    </w:lvl>
    <w:lvl w:ilvl="5" w:tplc="0C1A929E">
      <w:numFmt w:val="bullet"/>
      <w:lvlText w:val="•"/>
      <w:lvlJc w:val="left"/>
      <w:pPr>
        <w:ind w:left="5400" w:hanging="360"/>
      </w:pPr>
      <w:rPr>
        <w:rFonts w:hint="default"/>
        <w:lang w:val="en-US" w:eastAsia="en-US" w:bidi="ar-SA"/>
      </w:rPr>
    </w:lvl>
    <w:lvl w:ilvl="6" w:tplc="42D2CE56">
      <w:numFmt w:val="bullet"/>
      <w:lvlText w:val="•"/>
      <w:lvlJc w:val="left"/>
      <w:pPr>
        <w:ind w:left="6336" w:hanging="360"/>
      </w:pPr>
      <w:rPr>
        <w:rFonts w:hint="default"/>
        <w:lang w:val="en-US" w:eastAsia="en-US" w:bidi="ar-SA"/>
      </w:rPr>
    </w:lvl>
    <w:lvl w:ilvl="7" w:tplc="6F06A578">
      <w:numFmt w:val="bullet"/>
      <w:lvlText w:val="•"/>
      <w:lvlJc w:val="left"/>
      <w:pPr>
        <w:ind w:left="7272" w:hanging="360"/>
      </w:pPr>
      <w:rPr>
        <w:rFonts w:hint="default"/>
        <w:lang w:val="en-US" w:eastAsia="en-US" w:bidi="ar-SA"/>
      </w:rPr>
    </w:lvl>
    <w:lvl w:ilvl="8" w:tplc="5894971A">
      <w:numFmt w:val="bullet"/>
      <w:lvlText w:val="•"/>
      <w:lvlJc w:val="left"/>
      <w:pPr>
        <w:ind w:left="8208" w:hanging="360"/>
      </w:pPr>
      <w:rPr>
        <w:rFonts w:hint="default"/>
        <w:lang w:val="en-US" w:eastAsia="en-US" w:bidi="ar-SA"/>
      </w:rPr>
    </w:lvl>
  </w:abstractNum>
  <w:num w:numId="1" w16cid:durableId="1926961117">
    <w:abstractNumId w:val="4"/>
  </w:num>
  <w:num w:numId="2" w16cid:durableId="1786801891">
    <w:abstractNumId w:val="12"/>
  </w:num>
  <w:num w:numId="3" w16cid:durableId="1332639701">
    <w:abstractNumId w:val="1"/>
  </w:num>
  <w:num w:numId="4" w16cid:durableId="577641340">
    <w:abstractNumId w:val="17"/>
  </w:num>
  <w:num w:numId="5" w16cid:durableId="489448479">
    <w:abstractNumId w:val="0"/>
  </w:num>
  <w:num w:numId="6" w16cid:durableId="1075591052">
    <w:abstractNumId w:val="6"/>
  </w:num>
  <w:num w:numId="7" w16cid:durableId="669257564">
    <w:abstractNumId w:val="3"/>
  </w:num>
  <w:num w:numId="8" w16cid:durableId="1925069382">
    <w:abstractNumId w:val="14"/>
  </w:num>
  <w:num w:numId="9" w16cid:durableId="1344017928">
    <w:abstractNumId w:val="13"/>
  </w:num>
  <w:num w:numId="10" w16cid:durableId="1624458695">
    <w:abstractNumId w:val="10"/>
  </w:num>
  <w:num w:numId="11" w16cid:durableId="688409690">
    <w:abstractNumId w:val="11"/>
  </w:num>
  <w:num w:numId="12" w16cid:durableId="1700541580">
    <w:abstractNumId w:val="15"/>
  </w:num>
  <w:num w:numId="13" w16cid:durableId="282880309">
    <w:abstractNumId w:val="16"/>
  </w:num>
  <w:num w:numId="14" w16cid:durableId="1541362622">
    <w:abstractNumId w:val="5"/>
  </w:num>
  <w:num w:numId="15" w16cid:durableId="1873880628">
    <w:abstractNumId w:val="2"/>
  </w:num>
  <w:num w:numId="16" w16cid:durableId="1330256112">
    <w:abstractNumId w:val="9"/>
  </w:num>
  <w:num w:numId="17" w16cid:durableId="1592347136">
    <w:abstractNumId w:val="7"/>
  </w:num>
  <w:num w:numId="18" w16cid:durableId="661395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4"/>
    <w:rsid w:val="0002397C"/>
    <w:rsid w:val="00314657"/>
    <w:rsid w:val="00344399"/>
    <w:rsid w:val="006148EC"/>
    <w:rsid w:val="00BB5C33"/>
    <w:rsid w:val="00CB6FEC"/>
    <w:rsid w:val="00D42494"/>
    <w:rsid w:val="00DF43C4"/>
    <w:rsid w:val="00E34B5B"/>
    <w:rsid w:val="00F07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FE99"/>
  <w15:docId w15:val="{CAF70764-C5D9-4239-B25B-C7984570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240"/>
      <w:ind w:left="780" w:hanging="420"/>
      <w:outlineLvl w:val="1"/>
    </w:pPr>
    <w:rPr>
      <w:b/>
      <w:bCs/>
      <w:sz w:val="24"/>
      <w:szCs w:val="24"/>
    </w:rPr>
  </w:style>
  <w:style w:type="paragraph" w:styleId="Heading3">
    <w:name w:val="heading 3"/>
    <w:basedOn w:val="Normal"/>
    <w:next w:val="Normal"/>
    <w:link w:val="Heading3Char"/>
    <w:uiPriority w:val="9"/>
    <w:semiHidden/>
    <w:unhideWhenUsed/>
    <w:qFormat/>
    <w:rsid w:val="006148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48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720"/>
      <w:jc w:val="both"/>
    </w:pPr>
    <w:rPr>
      <w:sz w:val="24"/>
      <w:szCs w:val="24"/>
    </w:rPr>
  </w:style>
  <w:style w:type="paragraph" w:styleId="Title">
    <w:name w:val="Title"/>
    <w:basedOn w:val="Normal"/>
    <w:uiPriority w:val="10"/>
    <w:qFormat/>
    <w:pPr>
      <w:ind w:left="535" w:right="554" w:firstLine="3"/>
      <w:jc w:val="center"/>
    </w:pPr>
    <w:rPr>
      <w:b/>
      <w:bCs/>
      <w:sz w:val="28"/>
      <w:szCs w:val="28"/>
    </w:rPr>
  </w:style>
  <w:style w:type="paragraph" w:styleId="ListParagraph">
    <w:name w:val="List Paragraph"/>
    <w:basedOn w:val="Normal"/>
    <w:uiPriority w:val="1"/>
    <w:qFormat/>
    <w:pPr>
      <w:spacing w:before="241"/>
      <w:ind w:left="720" w:hanging="36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148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148EC"/>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6148EC"/>
    <w:rPr>
      <w:color w:val="0000FF" w:themeColor="hyperlink"/>
      <w:u w:val="single"/>
    </w:rPr>
  </w:style>
  <w:style w:type="character" w:styleId="UnresolvedMention">
    <w:name w:val="Unresolved Mention"/>
    <w:basedOn w:val="DefaultParagraphFont"/>
    <w:uiPriority w:val="99"/>
    <w:semiHidden/>
    <w:unhideWhenUsed/>
    <w:rsid w:val="006148EC"/>
    <w:rPr>
      <w:color w:val="605E5C"/>
      <w:shd w:val="clear" w:color="auto" w:fill="E1DFDD"/>
    </w:rPr>
  </w:style>
  <w:style w:type="paragraph" w:styleId="Header">
    <w:name w:val="header"/>
    <w:basedOn w:val="Normal"/>
    <w:link w:val="HeaderChar"/>
    <w:uiPriority w:val="99"/>
    <w:unhideWhenUsed/>
    <w:rsid w:val="00BB5C33"/>
    <w:pPr>
      <w:tabs>
        <w:tab w:val="center" w:pos="4513"/>
        <w:tab w:val="right" w:pos="9026"/>
      </w:tabs>
    </w:pPr>
  </w:style>
  <w:style w:type="character" w:customStyle="1" w:styleId="HeaderChar">
    <w:name w:val="Header Char"/>
    <w:basedOn w:val="DefaultParagraphFont"/>
    <w:link w:val="Header"/>
    <w:uiPriority w:val="99"/>
    <w:rsid w:val="00BB5C33"/>
    <w:rPr>
      <w:rFonts w:ascii="Times New Roman" w:eastAsia="Times New Roman" w:hAnsi="Times New Roman" w:cs="Times New Roman"/>
    </w:rPr>
  </w:style>
  <w:style w:type="paragraph" w:styleId="Footer">
    <w:name w:val="footer"/>
    <w:basedOn w:val="Normal"/>
    <w:link w:val="FooterChar"/>
    <w:uiPriority w:val="99"/>
    <w:unhideWhenUsed/>
    <w:rsid w:val="00BB5C33"/>
    <w:pPr>
      <w:tabs>
        <w:tab w:val="center" w:pos="4513"/>
        <w:tab w:val="right" w:pos="9026"/>
      </w:tabs>
    </w:pPr>
  </w:style>
  <w:style w:type="character" w:customStyle="1" w:styleId="FooterChar">
    <w:name w:val="Footer Char"/>
    <w:basedOn w:val="DefaultParagraphFont"/>
    <w:link w:val="Footer"/>
    <w:uiPriority w:val="99"/>
    <w:rsid w:val="00BB5C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scitotenv.2024.169901" TargetMode="External"/><Relationship Id="rId21" Type="http://schemas.openxmlformats.org/officeDocument/2006/relationships/hyperlink" Target="https://doi.org/10.1177/1070496517727325" TargetMode="External"/><Relationship Id="rId42" Type="http://schemas.openxmlformats.org/officeDocument/2006/relationships/hyperlink" Target="https://www.google.com/search?q=https://doi.org/10.1038/s41558-020-0805-5" TargetMode="External"/><Relationship Id="rId47" Type="http://schemas.openxmlformats.org/officeDocument/2006/relationships/hyperlink" Target="https://doi.org/10.1057/s41599-024-04205-9" TargetMode="External"/><Relationship Id="rId63" Type="http://schemas.openxmlformats.org/officeDocument/2006/relationships/hyperlink" Target="https://doi.org/10.1016/j.ecolind.2021.108348"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ijdrr.2021.102282" TargetMode="External"/><Relationship Id="rId29" Type="http://schemas.openxmlformats.org/officeDocument/2006/relationships/hyperlink" Target="https://doi.org/10.1016/j.jclepro.2021.127467" TargetMode="External"/><Relationship Id="rId11" Type="http://schemas.openxmlformats.org/officeDocument/2006/relationships/hyperlink" Target="https://doi.org/10.1016/j.scs.2022.103988" TargetMode="External"/><Relationship Id="rId24" Type="http://schemas.openxmlformats.org/officeDocument/2006/relationships/hyperlink" Target="https://doi.org/10.1073/pnas.2206192119" TargetMode="External"/><Relationship Id="rId32" Type="http://schemas.openxmlformats.org/officeDocument/2006/relationships/hyperlink" Target="https://doi.org/10.1057/s41599-023-01516-1" TargetMode="External"/><Relationship Id="rId37" Type="http://schemas.openxmlformats.org/officeDocument/2006/relationships/hyperlink" Target="https://doi.org/10.1016/j.landurbplan.2010.09.001" TargetMode="External"/><Relationship Id="rId40" Type="http://schemas.openxmlformats.org/officeDocument/2006/relationships/hyperlink" Target="https://doi.org/10.1016/j.landusepol.2019.104097" TargetMode="External"/><Relationship Id="rId45" Type="http://schemas.openxmlformats.org/officeDocument/2006/relationships/hyperlink" Target="https://doi.org/10.1016/j.ecolind.2023.110320" TargetMode="External"/><Relationship Id="rId53" Type="http://schemas.openxmlformats.org/officeDocument/2006/relationships/hyperlink" Target="https://doi.org/10.1016/j.ijdrr.2020.101697" TargetMode="External"/><Relationship Id="rId58" Type="http://schemas.openxmlformats.org/officeDocument/2006/relationships/hyperlink" Target="https://doi.org/10.1016/j.ijdrr.2022.103062" TargetMode="External"/><Relationship Id="rId66" Type="http://schemas.openxmlformats.org/officeDocument/2006/relationships/hyperlink" Target="https://doi.org/10.1016/j.scs.2021.103355" TargetMode="External"/><Relationship Id="rId5" Type="http://schemas.openxmlformats.org/officeDocument/2006/relationships/footnotes" Target="footnotes.xml"/><Relationship Id="rId61" Type="http://schemas.openxmlformats.org/officeDocument/2006/relationships/hyperlink" Target="https://doi.org/10.1007/s11769-013-0609-6" TargetMode="External"/><Relationship Id="rId19" Type="http://schemas.openxmlformats.org/officeDocument/2006/relationships/hyperlink" Target="https://doi.org/10.1016/j.landusepol.2014.07.011" TargetMode="External"/><Relationship Id="rId14" Type="http://schemas.openxmlformats.org/officeDocument/2006/relationships/hyperlink" Target="https://doi.org/10.1016/j.ijdrr.2021.102531" TargetMode="External"/><Relationship Id="rId22" Type="http://schemas.openxmlformats.org/officeDocument/2006/relationships/hyperlink" Target="https://doi.org/10.1016/j.habitatint.2023.102905" TargetMode="External"/><Relationship Id="rId27" Type="http://schemas.openxmlformats.org/officeDocument/2006/relationships/hyperlink" Target="https://doi.org/10.1007/s41651-023-00147-z" TargetMode="External"/><Relationship Id="rId30" Type="http://schemas.openxmlformats.org/officeDocument/2006/relationships/hyperlink" Target="https://doi.org/10.1016/j.habitatint.2022.102614" TargetMode="External"/><Relationship Id="rId35" Type="http://schemas.openxmlformats.org/officeDocument/2006/relationships/hyperlink" Target="https://doi.org/10.1016/j.habitatint.2021.102489" TargetMode="External"/><Relationship Id="rId43" Type="http://schemas.openxmlformats.org/officeDocument/2006/relationships/hyperlink" Target="https://doi.org/10.1016/j.ecolind.2023.111177" TargetMode="External"/><Relationship Id="rId48" Type="http://schemas.openxmlformats.org/officeDocument/2006/relationships/hyperlink" Target="https://doi.org/10.1016/j.landusepol.2020.104783" TargetMode="External"/><Relationship Id="rId56" Type="http://schemas.openxmlformats.org/officeDocument/2006/relationships/hyperlink" Target="https://doi.org/10.1016/j.habitatint.2020.102135" TargetMode="External"/><Relationship Id="rId64" Type="http://schemas.openxmlformats.org/officeDocument/2006/relationships/hyperlink" Target="https://doi.org/10.1016/j.ecolind.2023.110794" TargetMode="External"/><Relationship Id="rId69" Type="http://schemas.openxmlformats.org/officeDocument/2006/relationships/fontTable" Target="fontTable.xml"/><Relationship Id="rId8" Type="http://schemas.openxmlformats.org/officeDocument/2006/relationships/hyperlink" Target="https://doi.org/10.1016/j.ijdrr.2022.103110" TargetMode="External"/><Relationship Id="rId51" Type="http://schemas.openxmlformats.org/officeDocument/2006/relationships/hyperlink" Target="https://doi.org/10.1038/s41598-025-00286-x" TargetMode="External"/><Relationship Id="rId3" Type="http://schemas.openxmlformats.org/officeDocument/2006/relationships/settings" Target="settings.xml"/><Relationship Id="rId12" Type="http://schemas.openxmlformats.org/officeDocument/2006/relationships/hyperlink" Target="https://doi.org/10.1038/s43247-022-00360-6" TargetMode="External"/><Relationship Id="rId17" Type="http://schemas.openxmlformats.org/officeDocument/2006/relationships/hyperlink" Target="https://doi.org/10.1016/j.jclepro.2023.138402" TargetMode="External"/><Relationship Id="rId25" Type="http://schemas.openxmlformats.org/officeDocument/2006/relationships/hyperlink" Target="https://doi.org/10.1029/2021EF002591" TargetMode="External"/><Relationship Id="rId33" Type="http://schemas.openxmlformats.org/officeDocument/2006/relationships/hyperlink" Target="https://doi.org/10.1057/s41599-025-04538-z" TargetMode="External"/><Relationship Id="rId38" Type="http://schemas.openxmlformats.org/officeDocument/2006/relationships/hyperlink" Target="https://doi.org/10.1016/j.ijdrr.2022.103073" TargetMode="External"/><Relationship Id="rId46" Type="http://schemas.openxmlformats.org/officeDocument/2006/relationships/hyperlink" Target="https://doi.org/10.1057/s41599-021-00933-4" TargetMode="External"/><Relationship Id="rId59" Type="http://schemas.openxmlformats.org/officeDocument/2006/relationships/hyperlink" Target="https://doi.org/10.1057/s41599-022-01038-2" TargetMode="External"/><Relationship Id="rId67" Type="http://schemas.openxmlformats.org/officeDocument/2006/relationships/header" Target="header1.xml"/><Relationship Id="rId20" Type="http://schemas.openxmlformats.org/officeDocument/2006/relationships/hyperlink" Target="https://doi.org/10.1016/j.scitotenv.2024.171210" TargetMode="External"/><Relationship Id="rId41" Type="http://schemas.openxmlformats.org/officeDocument/2006/relationships/hyperlink" Target="https://doi.org/10.1016/j.ijdrr.2024.104242" TargetMode="External"/><Relationship Id="rId54" Type="http://schemas.openxmlformats.org/officeDocument/2006/relationships/hyperlink" Target="https://doi.org/10.1016/j.compag.2016.08.008" TargetMode="External"/><Relationship Id="rId62" Type="http://schemas.openxmlformats.org/officeDocument/2006/relationships/hyperlink" Target="https://doi.org/10.1016/j.ecolind.2024.111877"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scitotenv.2021.149928" TargetMode="External"/><Relationship Id="rId23" Type="http://schemas.openxmlformats.org/officeDocument/2006/relationships/hyperlink" Target="https://doi.org/10.1016/j.cities.2023.104667" TargetMode="External"/><Relationship Id="rId28" Type="http://schemas.openxmlformats.org/officeDocument/2006/relationships/hyperlink" Target="https://doi.org/10.1016/j.forpol.2020.102310" TargetMode="External"/><Relationship Id="rId36" Type="http://schemas.openxmlformats.org/officeDocument/2006/relationships/hyperlink" Target="https://doi.org/10.1057/s41599-018-0096-6" TargetMode="External"/><Relationship Id="rId49" Type="http://schemas.openxmlformats.org/officeDocument/2006/relationships/hyperlink" Target="https://doi.org/10.1016/j.landusepol.2015.11.027" TargetMode="External"/><Relationship Id="rId57" Type="http://schemas.openxmlformats.org/officeDocument/2006/relationships/hyperlink" Target="https://doi.org/10.1016/j.ijdrr.2023.103946" TargetMode="External"/><Relationship Id="rId10" Type="http://schemas.openxmlformats.org/officeDocument/2006/relationships/hyperlink" Target="https://doi.org/10.1016/j.landusepol.2019.04.036" TargetMode="External"/><Relationship Id="rId31" Type="http://schemas.openxmlformats.org/officeDocument/2006/relationships/hyperlink" Target="https://doi.org/10.1016/j.habitatint.2024.103057" TargetMode="External"/><Relationship Id="rId44" Type="http://schemas.openxmlformats.org/officeDocument/2006/relationships/hyperlink" Target="https://doi.org/10.1016/j.eiar.2023.107285" TargetMode="External"/><Relationship Id="rId52" Type="http://schemas.openxmlformats.org/officeDocument/2006/relationships/hyperlink" Target="https://www.google.com/search?q=https://doi.org/10.1007/s11069-013-0592-6" TargetMode="External"/><Relationship Id="rId60" Type="http://schemas.openxmlformats.org/officeDocument/2006/relationships/hyperlink" Target="https://doi.org/10.3390/land11060891" TargetMode="External"/><Relationship Id="rId65" Type="http://schemas.openxmlformats.org/officeDocument/2006/relationships/hyperlink" Target="https://doi.org/10.1016/j.apgeog.2023.103172" TargetMode="External"/><Relationship Id="rId4" Type="http://schemas.openxmlformats.org/officeDocument/2006/relationships/webSettings" Target="webSettings.xml"/><Relationship Id="rId9" Type="http://schemas.openxmlformats.org/officeDocument/2006/relationships/hyperlink" Target="https://doi.org/10.1111/j.1538-4632.1995.tb00338.x" TargetMode="External"/><Relationship Id="rId13" Type="http://schemas.openxmlformats.org/officeDocument/2006/relationships/hyperlink" Target="https://doi.org/10.1016/j.ijdrr.2022.102834" TargetMode="External"/><Relationship Id="rId18" Type="http://schemas.openxmlformats.org/officeDocument/2006/relationships/hyperlink" Target="https://doi.org/10.1016/j.jhydrol.2021.126362" TargetMode="External"/><Relationship Id="rId39" Type="http://schemas.openxmlformats.org/officeDocument/2006/relationships/hyperlink" Target="https://doi.org/10.1016/j.scitotenv.2020.138364" TargetMode="External"/><Relationship Id="rId34" Type="http://schemas.openxmlformats.org/officeDocument/2006/relationships/hyperlink" Target="https://doi.org/10.1016/j.gloenvcha.2013.07.027" TargetMode="External"/><Relationship Id="rId50" Type="http://schemas.openxmlformats.org/officeDocument/2006/relationships/hyperlink" Target="https://doi.org/10.1016/j.habitatint.2017.09.010" TargetMode="External"/><Relationship Id="rId55" Type="http://schemas.openxmlformats.org/officeDocument/2006/relationships/hyperlink" Target="https://doi.org/10.1016/j.apgeog.2022.10283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jomaar.com/"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jom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8959</Words>
  <Characters>51069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Sachin Patidar</cp:lastModifiedBy>
  <cp:revision>2</cp:revision>
  <dcterms:created xsi:type="dcterms:W3CDTF">2025-11-05T12:51:00Z</dcterms:created>
  <dcterms:modified xsi:type="dcterms:W3CDTF">2025-11-05T12:51:00Z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